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737BD" w14:textId="14CECED0" w:rsidR="001B1180" w:rsidRPr="00D67CE1" w:rsidRDefault="001B1180" w:rsidP="001B1180">
      <w:pPr>
        <w:jc w:val="center"/>
        <w:rPr>
          <w:rFonts w:eastAsia="Calibri"/>
          <w:sz w:val="22"/>
          <w:szCs w:val="22"/>
          <w:lang w:val="uz-Latn-UZ"/>
        </w:rPr>
      </w:pPr>
      <w:r w:rsidRPr="00D67CE1">
        <w:rPr>
          <w:rFonts w:eastAsia="Calibri"/>
          <w:sz w:val="22"/>
          <w:szCs w:val="22"/>
          <w:lang w:val="uz-Latn-UZ"/>
        </w:rPr>
        <w:t xml:space="preserve">EFFECT OF TEMPERATURE CHANGE ON HYDROGEN ADSORPTION OF </w:t>
      </w:r>
      <w:r w:rsidRPr="00D67CE1">
        <w:rPr>
          <w:rFonts w:eastAsia="Calibri"/>
          <w:i/>
          <w:sz w:val="22"/>
          <w:szCs w:val="22"/>
          <w:lang w:val="uz-Latn-UZ"/>
        </w:rPr>
        <w:t>α</w:t>
      </w:r>
      <w:r w:rsidRPr="00D67CE1">
        <w:rPr>
          <w:rFonts w:eastAsia="Calibri"/>
          <w:sz w:val="22"/>
          <w:szCs w:val="22"/>
          <w:lang w:val="uz-Latn-UZ"/>
        </w:rPr>
        <w:t>-SiO</w:t>
      </w:r>
      <w:r w:rsidRPr="00D67CE1">
        <w:rPr>
          <w:rFonts w:eastAsia="Calibri"/>
          <w:sz w:val="22"/>
          <w:szCs w:val="22"/>
          <w:vertAlign w:val="subscript"/>
          <w:lang w:val="uz-Latn-UZ"/>
        </w:rPr>
        <w:t>2</w:t>
      </w:r>
    </w:p>
    <w:p w14:paraId="026219B7" w14:textId="77777777" w:rsidR="001B1180" w:rsidRPr="0043206B" w:rsidRDefault="001B1180" w:rsidP="001B1180">
      <w:pPr>
        <w:rPr>
          <w:rFonts w:eastAsia="Calibri"/>
          <w:i/>
          <w:iCs/>
          <w:sz w:val="22"/>
          <w:szCs w:val="22"/>
          <w:lang w:val="uz-Latn-UZ"/>
        </w:rPr>
      </w:pPr>
    </w:p>
    <w:p w14:paraId="088142F9" w14:textId="77777777" w:rsidR="001B1180" w:rsidRPr="00CE62D3" w:rsidRDefault="001B1180" w:rsidP="0043206B">
      <w:pPr>
        <w:jc w:val="center"/>
        <w:rPr>
          <w:rFonts w:eastAsia="Calibri"/>
          <w:iCs/>
          <w:sz w:val="22"/>
          <w:szCs w:val="22"/>
          <w:lang w:val="uz-Latn-UZ"/>
        </w:rPr>
      </w:pPr>
      <w:r w:rsidRPr="00CE62D3">
        <w:rPr>
          <w:rFonts w:eastAsia="Calibri"/>
          <w:iCs/>
          <w:sz w:val="22"/>
          <w:szCs w:val="22"/>
          <w:lang w:val="uz-Latn-UZ"/>
        </w:rPr>
        <w:t>U. Uljayev</w:t>
      </w:r>
      <w:r w:rsidRPr="00CE62D3">
        <w:rPr>
          <w:rFonts w:eastAsia="Calibri"/>
          <w:iCs/>
          <w:sz w:val="22"/>
          <w:szCs w:val="22"/>
          <w:vertAlign w:val="superscript"/>
          <w:lang w:val="uz-Latn-UZ"/>
        </w:rPr>
        <w:t>1,2*)</w:t>
      </w:r>
      <w:r w:rsidRPr="00CE62D3">
        <w:rPr>
          <w:rFonts w:eastAsia="Calibri"/>
          <w:iCs/>
          <w:sz w:val="22"/>
          <w:szCs w:val="22"/>
          <w:lang w:val="uz-Latn-UZ"/>
        </w:rPr>
        <w:t>, A.Ulukmuradov</w:t>
      </w:r>
      <w:r w:rsidRPr="00CE62D3">
        <w:rPr>
          <w:rFonts w:eastAsia="Calibri"/>
          <w:iCs/>
          <w:sz w:val="22"/>
          <w:szCs w:val="22"/>
          <w:vertAlign w:val="superscript"/>
          <w:lang w:val="uz-Latn-UZ"/>
        </w:rPr>
        <w:t>2)</w:t>
      </w:r>
      <w:r w:rsidRPr="00CE62D3">
        <w:rPr>
          <w:rFonts w:eastAsia="Calibri"/>
          <w:iCs/>
          <w:sz w:val="22"/>
          <w:szCs w:val="22"/>
          <w:lang w:val="uz-Latn-UZ"/>
        </w:rPr>
        <w:t>, K. Mehmonov</w:t>
      </w:r>
      <w:r w:rsidRPr="00CE62D3">
        <w:rPr>
          <w:rFonts w:eastAsia="Calibri"/>
          <w:iCs/>
          <w:sz w:val="22"/>
          <w:szCs w:val="22"/>
          <w:vertAlign w:val="superscript"/>
          <w:lang w:val="uz-Latn-UZ"/>
        </w:rPr>
        <w:t>1)</w:t>
      </w:r>
      <w:r w:rsidRPr="00CE62D3">
        <w:rPr>
          <w:rFonts w:eastAsia="Calibri"/>
          <w:iCs/>
          <w:sz w:val="22"/>
          <w:szCs w:val="22"/>
          <w:lang w:val="uz-Latn-UZ"/>
        </w:rPr>
        <w:t>, U. Khalilov</w:t>
      </w:r>
      <w:r w:rsidRPr="00CE62D3">
        <w:rPr>
          <w:rFonts w:eastAsia="Calibri"/>
          <w:iCs/>
          <w:sz w:val="22"/>
          <w:szCs w:val="22"/>
          <w:vertAlign w:val="superscript"/>
          <w:lang w:val="uz-Latn-UZ"/>
        </w:rPr>
        <w:t>1)</w:t>
      </w:r>
    </w:p>
    <w:p w14:paraId="39CCC3B0" w14:textId="77777777" w:rsidR="00D67CE1" w:rsidRDefault="001B1180" w:rsidP="00D67CE1">
      <w:pPr>
        <w:jc w:val="center"/>
        <w:rPr>
          <w:rFonts w:eastAsia="Arial Unicode MS"/>
          <w:iCs/>
          <w:sz w:val="22"/>
          <w:szCs w:val="22"/>
          <w:lang w:val="en-US"/>
        </w:rPr>
      </w:pPr>
      <w:r w:rsidRPr="00CE62D3">
        <w:rPr>
          <w:rFonts w:eastAsia="Arial Unicode MS"/>
          <w:iCs/>
          <w:sz w:val="22"/>
          <w:szCs w:val="22"/>
          <w:vertAlign w:val="superscript"/>
          <w:lang w:val="de-DE"/>
        </w:rPr>
        <w:t>1</w:t>
      </w:r>
      <w:proofErr w:type="spellStart"/>
      <w:r w:rsidRPr="00CE62D3">
        <w:rPr>
          <w:rFonts w:eastAsia="Arial Unicode MS"/>
          <w:iCs/>
          <w:sz w:val="22"/>
          <w:szCs w:val="22"/>
          <w:lang w:val="en-US"/>
        </w:rPr>
        <w:t>Arifov</w:t>
      </w:r>
      <w:proofErr w:type="spellEnd"/>
      <w:r w:rsidRPr="00CE62D3">
        <w:rPr>
          <w:rFonts w:eastAsia="Arial Unicode MS"/>
          <w:iCs/>
          <w:sz w:val="22"/>
          <w:szCs w:val="22"/>
          <w:lang w:val="en-US"/>
        </w:rPr>
        <w:t xml:space="preserve"> Institute of Ion</w:t>
      </w:r>
      <w:r w:rsidR="0043206B">
        <w:rPr>
          <w:rFonts w:eastAsia="Arial Unicode MS"/>
          <w:iCs/>
          <w:sz w:val="22"/>
          <w:szCs w:val="22"/>
          <w:lang w:val="en-US"/>
        </w:rPr>
        <w:t xml:space="preserve">-Plasma and Laser Technologies, </w:t>
      </w:r>
      <w:r w:rsidRPr="00CE62D3">
        <w:rPr>
          <w:rFonts w:eastAsia="Arial Unicode MS"/>
          <w:iCs/>
          <w:sz w:val="22"/>
          <w:szCs w:val="22"/>
          <w:lang w:val="en-US"/>
        </w:rPr>
        <w:t>100125, Tashkent, Uzbekistan</w:t>
      </w:r>
    </w:p>
    <w:p w14:paraId="409A72C9" w14:textId="7F7BFD4B" w:rsidR="001B1180" w:rsidRPr="00D67CE1" w:rsidRDefault="001B1180" w:rsidP="00D67CE1">
      <w:pPr>
        <w:jc w:val="center"/>
        <w:rPr>
          <w:rFonts w:eastAsia="Arial Unicode MS"/>
          <w:iCs/>
          <w:sz w:val="22"/>
          <w:szCs w:val="22"/>
          <w:lang w:val="en-US"/>
        </w:rPr>
      </w:pPr>
      <w:r w:rsidRPr="00CE62D3">
        <w:rPr>
          <w:rFonts w:eastAsia="Arial Unicode MS"/>
          <w:sz w:val="22"/>
          <w:szCs w:val="22"/>
          <w:vertAlign w:val="superscript"/>
          <w:lang w:val="en-US"/>
        </w:rPr>
        <w:t>2</w:t>
      </w:r>
      <w:r w:rsidRPr="00CE62D3">
        <w:rPr>
          <w:rFonts w:eastAsia="Arial Unicode MS"/>
          <w:sz w:val="22"/>
          <w:szCs w:val="22"/>
          <w:lang w:val="en-US"/>
        </w:rPr>
        <w:t>Tashkent Institute</w:t>
      </w:r>
      <w:r w:rsidR="0043206B">
        <w:rPr>
          <w:rFonts w:eastAsia="Arial Unicode MS"/>
          <w:sz w:val="22"/>
          <w:szCs w:val="22"/>
          <w:lang w:val="en-US"/>
        </w:rPr>
        <w:t xml:space="preserve"> of Textile and Light Industry, </w:t>
      </w:r>
      <w:r w:rsidRPr="00CE62D3">
        <w:rPr>
          <w:rFonts w:eastAsia="Arial Unicode MS"/>
          <w:sz w:val="22"/>
          <w:szCs w:val="22"/>
          <w:lang w:val="en-US"/>
        </w:rPr>
        <w:t>100100, Tashkent, Uzbekistan</w:t>
      </w:r>
    </w:p>
    <w:p w14:paraId="00325E98" w14:textId="77777777" w:rsidR="001B1180" w:rsidRPr="00CE62D3" w:rsidRDefault="001B1180" w:rsidP="0043206B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CE62D3">
        <w:rPr>
          <w:sz w:val="22"/>
          <w:szCs w:val="22"/>
          <w:vertAlign w:val="superscript"/>
          <w:lang w:val="en-US"/>
        </w:rPr>
        <w:t>*)</w:t>
      </w:r>
      <w:r w:rsidRPr="00CE62D3">
        <w:rPr>
          <w:sz w:val="22"/>
          <w:szCs w:val="22"/>
          <w:lang w:val="en-US"/>
        </w:rPr>
        <w:t xml:space="preserve"> e-mail: utkir.uljaev@outlook.com</w:t>
      </w:r>
    </w:p>
    <w:p w14:paraId="27638AF8" w14:textId="77777777" w:rsidR="001B1180" w:rsidRPr="001B1180" w:rsidRDefault="001B1180" w:rsidP="001B1180">
      <w:pPr>
        <w:jc w:val="both"/>
        <w:rPr>
          <w:b/>
          <w:lang w:val="en-US"/>
        </w:rPr>
      </w:pPr>
    </w:p>
    <w:p w14:paraId="60088887" w14:textId="50010D7E" w:rsidR="00F53E42" w:rsidRDefault="001B1180" w:rsidP="00F53E42">
      <w:pPr>
        <w:jc w:val="both"/>
        <w:rPr>
          <w:sz w:val="22"/>
          <w:szCs w:val="22"/>
          <w:lang w:val="en-US"/>
        </w:rPr>
      </w:pPr>
      <w:r w:rsidRPr="00CE62D3">
        <w:rPr>
          <w:sz w:val="22"/>
          <w:szCs w:val="22"/>
          <w:lang w:val="en-US"/>
        </w:rPr>
        <w:t>The ecological friendliness and sustainability of hydrogen energy have recently made it one of th</w:t>
      </w:r>
      <w:r w:rsidR="00FD2EF6">
        <w:rPr>
          <w:sz w:val="22"/>
          <w:szCs w:val="22"/>
          <w:lang w:val="en-US"/>
        </w:rPr>
        <w:t xml:space="preserve">e most promising “green” fuels </w:t>
      </w:r>
      <w:r w:rsidR="00334AD0" w:rsidRPr="00CE62D3">
        <w:rPr>
          <w:sz w:val="22"/>
          <w:szCs w:val="22"/>
          <w:lang w:val="en-US"/>
        </w:rPr>
        <w:t>[1]</w:t>
      </w:r>
      <w:r w:rsidRPr="00CE62D3">
        <w:rPr>
          <w:sz w:val="22"/>
          <w:szCs w:val="22"/>
          <w:lang w:val="en-US"/>
        </w:rPr>
        <w:t xml:space="preserve">. </w:t>
      </w:r>
      <w:r w:rsidR="0043206B" w:rsidRPr="00CE62D3">
        <w:rPr>
          <w:sz w:val="22"/>
          <w:szCs w:val="22"/>
          <w:lang w:val="en-US"/>
        </w:rPr>
        <w:t xml:space="preserve">In particular, among these structures, </w:t>
      </w:r>
      <w:proofErr w:type="spellStart"/>
      <w:r w:rsidR="0043206B" w:rsidRPr="00CE62D3">
        <w:rPr>
          <w:sz w:val="22"/>
          <w:szCs w:val="22"/>
          <w:lang w:val="en-US"/>
        </w:rPr>
        <w:t>SiO</w:t>
      </w:r>
      <w:proofErr w:type="spellEnd"/>
      <w:r w:rsidR="0043206B" w:rsidRPr="00CE62D3">
        <w:rPr>
          <w:rFonts w:ascii="Cambria Math" w:hAnsi="Cambria Math" w:cs="Cambria Math"/>
          <w:sz w:val="22"/>
          <w:szCs w:val="22"/>
          <w:lang w:val="en-US"/>
        </w:rPr>
        <w:t>₂</w:t>
      </w:r>
      <w:r w:rsidR="0043206B" w:rsidRPr="00CE62D3">
        <w:rPr>
          <w:sz w:val="22"/>
          <w:szCs w:val="22"/>
          <w:lang w:val="en-US"/>
        </w:rPr>
        <w:t xml:space="preserve"> based porous materials are potential candidates for hydrogen storage due to their harmlessness, low cost, and</w:t>
      </w:r>
      <w:r w:rsidR="0043206B">
        <w:rPr>
          <w:sz w:val="22"/>
          <w:szCs w:val="22"/>
          <w:lang w:val="en-US"/>
        </w:rPr>
        <w:t xml:space="preserve"> excellent thermal stability</w:t>
      </w:r>
      <w:r w:rsidR="0043206B" w:rsidRPr="00CE62D3">
        <w:rPr>
          <w:sz w:val="22"/>
          <w:szCs w:val="22"/>
          <w:lang w:val="en-US"/>
        </w:rPr>
        <w:t>.</w:t>
      </w:r>
      <w:r w:rsidR="0017704D">
        <w:rPr>
          <w:sz w:val="22"/>
          <w:szCs w:val="22"/>
          <w:lang w:val="en-US"/>
        </w:rPr>
        <w:t xml:space="preserve"> </w:t>
      </w:r>
      <w:r w:rsidR="0017704D" w:rsidRPr="00CE62D3">
        <w:rPr>
          <w:sz w:val="22"/>
          <w:szCs w:val="22"/>
          <w:lang w:val="en-US"/>
        </w:rPr>
        <w:t xml:space="preserve">Therefore, in this study, the effect of pore structures on the adsorption process of hydrogen molecules on </w:t>
      </w:r>
      <w:r w:rsidR="0017704D" w:rsidRPr="00CE62D3">
        <w:rPr>
          <w:i/>
          <w:sz w:val="22"/>
          <w:szCs w:val="22"/>
          <w:lang w:val="en-US"/>
        </w:rPr>
        <w:t>a</w:t>
      </w:r>
      <w:r w:rsidR="0017704D" w:rsidRPr="00CE62D3">
        <w:rPr>
          <w:sz w:val="22"/>
          <w:szCs w:val="22"/>
          <w:lang w:val="en-US"/>
        </w:rPr>
        <w:t>-SiO</w:t>
      </w:r>
      <w:r w:rsidR="0017704D" w:rsidRPr="00CE62D3">
        <w:rPr>
          <w:sz w:val="22"/>
          <w:szCs w:val="22"/>
          <w:vertAlign w:val="subscript"/>
          <w:lang w:val="en-US"/>
        </w:rPr>
        <w:t>2</w:t>
      </w:r>
      <w:r w:rsidR="0017704D" w:rsidRPr="00CE62D3">
        <w:rPr>
          <w:sz w:val="22"/>
          <w:szCs w:val="22"/>
          <w:lang w:val="en-US"/>
        </w:rPr>
        <w:t xml:space="preserve"> was investigated using molecular dynamics (MD) methods (</w:t>
      </w:r>
      <w:r w:rsidR="0017704D" w:rsidRPr="00CE62D3">
        <w:rPr>
          <w:sz w:val="22"/>
          <w:szCs w:val="22"/>
          <w:lang w:val="uz-Latn-UZ"/>
        </w:rPr>
        <w:t xml:space="preserve">Fig. 1. </w:t>
      </w:r>
      <w:r w:rsidR="0017704D" w:rsidRPr="00CE62D3">
        <w:rPr>
          <w:i/>
          <w:sz w:val="22"/>
          <w:szCs w:val="22"/>
          <w:lang w:val="uz-Latn-UZ"/>
        </w:rPr>
        <w:t>a</w:t>
      </w:r>
      <w:r w:rsidR="0017704D" w:rsidRPr="00CE62D3">
        <w:rPr>
          <w:sz w:val="22"/>
          <w:szCs w:val="22"/>
          <w:lang w:val="uz-Latn-UZ"/>
        </w:rPr>
        <w:t>)</w:t>
      </w:r>
      <w:r w:rsidR="0017704D" w:rsidRPr="00CE62D3">
        <w:rPr>
          <w:sz w:val="22"/>
          <w:szCs w:val="22"/>
          <w:lang w:val="en-US"/>
        </w:rPr>
        <w:t>.</w:t>
      </w:r>
      <w:r w:rsidR="0017704D">
        <w:rPr>
          <w:sz w:val="22"/>
          <w:szCs w:val="22"/>
          <w:lang w:val="en-US"/>
        </w:rPr>
        <w:t xml:space="preserve"> </w:t>
      </w:r>
      <w:r w:rsidR="0017704D" w:rsidRPr="00CE62D3">
        <w:rPr>
          <w:sz w:val="22"/>
          <w:szCs w:val="22"/>
          <w:lang w:val="en-US"/>
        </w:rPr>
        <w:t>It can be seen from the results that the cooling rate plays a crucial role in changin</w:t>
      </w:r>
      <w:bookmarkStart w:id="0" w:name="_GoBack"/>
      <w:bookmarkEnd w:id="0"/>
      <w:r w:rsidR="0017704D" w:rsidRPr="00CE62D3">
        <w:rPr>
          <w:sz w:val="22"/>
          <w:szCs w:val="22"/>
          <w:lang w:val="en-US"/>
        </w:rPr>
        <w:t xml:space="preserve">g the pore structure of </w:t>
      </w:r>
      <w:r w:rsidR="0017704D" w:rsidRPr="00CE62D3">
        <w:rPr>
          <w:i/>
          <w:sz w:val="22"/>
          <w:szCs w:val="22"/>
        </w:rPr>
        <w:t>α</w:t>
      </w:r>
      <w:r w:rsidR="0017704D" w:rsidRPr="00CE62D3">
        <w:rPr>
          <w:sz w:val="22"/>
          <w:szCs w:val="22"/>
          <w:lang w:val="en-US"/>
        </w:rPr>
        <w:t>-SiO</w:t>
      </w:r>
      <w:r w:rsidR="0017704D" w:rsidRPr="00CE62D3">
        <w:rPr>
          <w:sz w:val="22"/>
          <w:szCs w:val="22"/>
          <w:vertAlign w:val="subscript"/>
          <w:lang w:val="en-US"/>
        </w:rPr>
        <w:t>2</w:t>
      </w:r>
      <w:r w:rsidR="0017704D" w:rsidRPr="00CE62D3">
        <w:rPr>
          <w:sz w:val="22"/>
          <w:szCs w:val="22"/>
          <w:lang w:val="en-US"/>
        </w:rPr>
        <w:t>, which in turn affects the sorption of hydrogen atoms and molecules (</w:t>
      </w:r>
      <w:r w:rsidR="0017704D" w:rsidRPr="00CE62D3">
        <w:rPr>
          <w:sz w:val="22"/>
          <w:szCs w:val="22"/>
          <w:lang w:val="uz-Latn-UZ"/>
        </w:rPr>
        <w:t xml:space="preserve">Fig. 1. </w:t>
      </w:r>
      <w:r w:rsidR="0017704D" w:rsidRPr="00CE62D3">
        <w:rPr>
          <w:i/>
          <w:sz w:val="22"/>
          <w:szCs w:val="22"/>
          <w:lang w:val="uz-Latn-UZ"/>
        </w:rPr>
        <w:t>b</w:t>
      </w:r>
      <w:r w:rsidR="0017704D" w:rsidRPr="00CE62D3">
        <w:rPr>
          <w:sz w:val="22"/>
          <w:szCs w:val="22"/>
          <w:lang w:val="uz-Latn-UZ"/>
        </w:rPr>
        <w:t>)</w:t>
      </w:r>
      <w:r w:rsidR="0017704D" w:rsidRPr="00CE62D3">
        <w:rPr>
          <w:sz w:val="22"/>
          <w:szCs w:val="22"/>
          <w:lang w:val="en-US"/>
        </w:rPr>
        <w:t>.</w:t>
      </w:r>
      <w:r w:rsidR="00F53E42" w:rsidRPr="00F53E42">
        <w:rPr>
          <w:sz w:val="22"/>
          <w:szCs w:val="22"/>
          <w:lang w:val="en-US"/>
        </w:rPr>
        <w:t xml:space="preserve"> </w:t>
      </w:r>
      <w:r w:rsidR="00F53E42" w:rsidRPr="00CE62D3">
        <w:rPr>
          <w:sz w:val="22"/>
          <w:szCs w:val="22"/>
          <w:lang w:val="en-US"/>
        </w:rPr>
        <w:t xml:space="preserve">The study showed that </w:t>
      </w:r>
      <w:r w:rsidR="00F53E42">
        <w:rPr>
          <w:sz w:val="22"/>
          <w:szCs w:val="22"/>
          <w:lang w:val="en-US"/>
        </w:rPr>
        <w:t xml:space="preserve">the maximum gravimetric density </w:t>
      </w:r>
      <w:r w:rsidR="00F53E42" w:rsidRPr="00CE62D3">
        <w:rPr>
          <w:sz w:val="22"/>
          <w:szCs w:val="22"/>
          <w:lang w:val="en-US"/>
        </w:rPr>
        <w:t xml:space="preserve">of hydrogen at 10 </w:t>
      </w:r>
      <w:proofErr w:type="spellStart"/>
      <w:r w:rsidR="00F53E42" w:rsidRPr="00CE62D3">
        <w:rPr>
          <w:sz w:val="22"/>
          <w:szCs w:val="22"/>
          <w:lang w:val="en-US"/>
        </w:rPr>
        <w:t>MPa</w:t>
      </w:r>
      <w:proofErr w:type="spellEnd"/>
      <w:r w:rsidR="00F53E42" w:rsidRPr="00CE62D3">
        <w:rPr>
          <w:sz w:val="22"/>
          <w:szCs w:val="22"/>
          <w:lang w:val="en-US"/>
        </w:rPr>
        <w:t xml:space="preserve"> is achieved at a cooling rate of 500 K/</w:t>
      </w:r>
      <w:proofErr w:type="spellStart"/>
      <w:r w:rsidR="00F53E42" w:rsidRPr="00CE62D3">
        <w:rPr>
          <w:sz w:val="22"/>
          <w:szCs w:val="22"/>
          <w:lang w:val="en-US"/>
        </w:rPr>
        <w:t>ps</w:t>
      </w:r>
      <w:proofErr w:type="spellEnd"/>
      <w:r w:rsidR="00F53E42" w:rsidRPr="00CE62D3">
        <w:rPr>
          <w:sz w:val="22"/>
          <w:szCs w:val="22"/>
          <w:lang w:val="en-US"/>
        </w:rPr>
        <w:t xml:space="preserve">, where it reaches 0.92 </w:t>
      </w:r>
      <w:proofErr w:type="spellStart"/>
      <w:r w:rsidR="00F53E42" w:rsidRPr="00CE62D3">
        <w:rPr>
          <w:sz w:val="22"/>
          <w:szCs w:val="22"/>
          <w:lang w:val="en-US"/>
        </w:rPr>
        <w:t>wt</w:t>
      </w:r>
      <w:proofErr w:type="spellEnd"/>
      <w:r w:rsidR="00F53E42" w:rsidRPr="00CE62D3">
        <w:rPr>
          <w:sz w:val="22"/>
          <w:szCs w:val="22"/>
          <w:lang w:val="en-US"/>
        </w:rPr>
        <w:t>% (8.45%).</w:t>
      </w:r>
    </w:p>
    <w:p w14:paraId="43BB3CBA" w14:textId="77777777" w:rsidR="001B1180" w:rsidRPr="00225718" w:rsidRDefault="001B1180" w:rsidP="001B1180">
      <w:pPr>
        <w:jc w:val="center"/>
        <w:rPr>
          <w:lang w:val="uz-Latn-UZ"/>
        </w:rPr>
      </w:pPr>
      <w:r w:rsidRPr="00225718">
        <w:rPr>
          <w:noProof/>
        </w:rPr>
        <w:drawing>
          <wp:inline distT="0" distB="0" distL="0" distR="0" wp14:anchorId="7B593F14" wp14:editId="4A73C945">
            <wp:extent cx="3778567" cy="1656000"/>
            <wp:effectExtent l="0" t="0" r="0" b="1905"/>
            <wp:docPr id="2" name="Рисунок 2" descr="D:\UUB 2023\III - BOB (a-SiO2)\10 MPa (rasm)\Слайд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UB 2023\III - BOB (a-SiO2)\10 MPa (rasm)\Слайд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567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57B73" w14:textId="77777777" w:rsidR="001B1180" w:rsidRDefault="001B1180" w:rsidP="001B1180">
      <w:pPr>
        <w:jc w:val="center"/>
        <w:rPr>
          <w:sz w:val="18"/>
          <w:szCs w:val="18"/>
          <w:lang w:val="uz-Latn-UZ"/>
        </w:rPr>
      </w:pPr>
      <w:r w:rsidRPr="00225718">
        <w:rPr>
          <w:sz w:val="18"/>
          <w:szCs w:val="18"/>
          <w:lang w:val="uz-Latn-UZ"/>
        </w:rPr>
        <w:t xml:space="preserve">Fig. 1. </w:t>
      </w:r>
      <w:r w:rsidRPr="00225718">
        <w:rPr>
          <w:i/>
          <w:sz w:val="18"/>
          <w:szCs w:val="18"/>
          <w:lang w:val="uz-Latn-UZ"/>
        </w:rPr>
        <w:t>a</w:t>
      </w:r>
      <w:r w:rsidRPr="00225718">
        <w:rPr>
          <w:sz w:val="18"/>
          <w:szCs w:val="18"/>
          <w:lang w:val="uz-Latn-UZ"/>
        </w:rPr>
        <w:t xml:space="preserve">) Hydrogens adsorbed on </w:t>
      </w:r>
      <w:r w:rsidRPr="00225718">
        <w:rPr>
          <w:i/>
          <w:sz w:val="18"/>
          <w:szCs w:val="18"/>
          <w:lang w:val="uz-Latn-UZ"/>
        </w:rPr>
        <w:t>a</w:t>
      </w:r>
      <w:r w:rsidRPr="00225718">
        <w:rPr>
          <w:sz w:val="18"/>
          <w:szCs w:val="18"/>
          <w:lang w:val="uz-Latn-UZ"/>
        </w:rPr>
        <w:t>-SiO</w:t>
      </w:r>
      <w:r w:rsidRPr="00225718">
        <w:rPr>
          <w:sz w:val="18"/>
          <w:szCs w:val="18"/>
          <w:vertAlign w:val="subscript"/>
          <w:lang w:val="uz-Latn-UZ"/>
        </w:rPr>
        <w:t>2</w:t>
      </w:r>
      <w:r w:rsidRPr="00225718">
        <w:rPr>
          <w:sz w:val="18"/>
          <w:szCs w:val="18"/>
          <w:lang w:val="uz-Latn-UZ"/>
        </w:rPr>
        <w:t xml:space="preserve">, </w:t>
      </w:r>
      <w:r w:rsidRPr="00225718">
        <w:rPr>
          <w:i/>
          <w:sz w:val="18"/>
          <w:szCs w:val="18"/>
          <w:lang w:val="uz-Latn-UZ"/>
        </w:rPr>
        <w:t>b</w:t>
      </w:r>
      <w:r w:rsidRPr="00225718">
        <w:rPr>
          <w:sz w:val="18"/>
          <w:szCs w:val="18"/>
          <w:lang w:val="uz-Latn-UZ"/>
        </w:rPr>
        <w:t>) Dependence of hydrogen gravimetric density on cooling rate at different pressures.</w:t>
      </w:r>
    </w:p>
    <w:p w14:paraId="7E7867BE" w14:textId="77777777" w:rsidR="0040664E" w:rsidRPr="00225718" w:rsidRDefault="0040664E" w:rsidP="001B1180">
      <w:pPr>
        <w:jc w:val="center"/>
        <w:rPr>
          <w:sz w:val="18"/>
          <w:szCs w:val="18"/>
          <w:lang w:val="uz-Latn-UZ"/>
        </w:rPr>
      </w:pPr>
    </w:p>
    <w:p w14:paraId="536F6BEB" w14:textId="77777777" w:rsidR="00FD2EF6" w:rsidRDefault="004E3BAB" w:rsidP="00CE62D3">
      <w:pPr>
        <w:pStyle w:val="a9"/>
        <w:jc w:val="center"/>
        <w:rPr>
          <w:sz w:val="22"/>
          <w:szCs w:val="22"/>
          <w:lang w:val="nl-BE"/>
        </w:rPr>
      </w:pPr>
      <w:r w:rsidRPr="002C2309">
        <w:rPr>
          <w:sz w:val="22"/>
          <w:szCs w:val="22"/>
          <w:lang w:val="nl-BE"/>
        </w:rPr>
        <w:t>REFERENCES</w:t>
      </w:r>
    </w:p>
    <w:p w14:paraId="04B8BED0" w14:textId="748C0BB5" w:rsidR="001B1180" w:rsidRPr="002C2309" w:rsidRDefault="001B1180" w:rsidP="00CE62D3">
      <w:pPr>
        <w:pStyle w:val="a9"/>
        <w:jc w:val="center"/>
        <w:rPr>
          <w:sz w:val="22"/>
          <w:szCs w:val="22"/>
          <w:lang w:val="en-US"/>
        </w:rPr>
      </w:pPr>
      <w:r w:rsidRPr="002C2309">
        <w:rPr>
          <w:sz w:val="22"/>
          <w:szCs w:val="22"/>
          <w:lang w:val="nl-BE"/>
        </w:rPr>
        <w:fldChar w:fldCharType="begin"/>
      </w:r>
      <w:r w:rsidRPr="002C2309">
        <w:rPr>
          <w:sz w:val="22"/>
          <w:szCs w:val="22"/>
          <w:lang w:val="nl-BE"/>
        </w:rPr>
        <w:instrText xml:space="preserve"> ADDIN ZOTERO_BIBL {"uncited":[],"omitted":[],"custom":[]} CSL_BIBLIOGRAPHY </w:instrText>
      </w:r>
      <w:r w:rsidRPr="002C2309">
        <w:rPr>
          <w:sz w:val="22"/>
          <w:szCs w:val="22"/>
          <w:lang w:val="nl-BE"/>
        </w:rPr>
        <w:fldChar w:fldCharType="separate"/>
      </w:r>
    </w:p>
    <w:p w14:paraId="4977D51B" w14:textId="69649F1D" w:rsidR="001B1180" w:rsidRDefault="0017704D" w:rsidP="00E21D5F">
      <w:pPr>
        <w:pStyle w:val="a9"/>
        <w:jc w:val="both"/>
        <w:rPr>
          <w:sz w:val="22"/>
          <w:szCs w:val="22"/>
          <w:lang w:val="en-US"/>
        </w:rPr>
      </w:pPr>
      <w:r w:rsidRPr="002C2309">
        <w:rPr>
          <w:sz w:val="22"/>
          <w:szCs w:val="22"/>
          <w:lang w:val="en-US"/>
        </w:rPr>
        <w:t>1. R. Krishna</w:t>
      </w:r>
      <w:r>
        <w:rPr>
          <w:sz w:val="22"/>
          <w:szCs w:val="22"/>
          <w:lang w:val="en-US"/>
        </w:rPr>
        <w:t xml:space="preserve"> et </w:t>
      </w:r>
      <w:proofErr w:type="gramStart"/>
      <w:r>
        <w:rPr>
          <w:sz w:val="22"/>
          <w:szCs w:val="22"/>
          <w:lang w:val="en-US"/>
        </w:rPr>
        <w:t>all.,</w:t>
      </w:r>
      <w:proofErr w:type="gramEnd"/>
      <w:r>
        <w:rPr>
          <w:sz w:val="22"/>
          <w:szCs w:val="22"/>
          <w:lang w:val="en-US"/>
        </w:rPr>
        <w:t xml:space="preserve"> </w:t>
      </w:r>
      <w:r>
        <w:rPr>
          <w:i/>
          <w:iCs/>
          <w:sz w:val="22"/>
          <w:szCs w:val="22"/>
          <w:lang w:val="en-US"/>
        </w:rPr>
        <w:t>H</w:t>
      </w:r>
      <w:r w:rsidRPr="002C2309">
        <w:rPr>
          <w:i/>
          <w:iCs/>
          <w:sz w:val="22"/>
          <w:szCs w:val="22"/>
          <w:lang w:val="en-US"/>
        </w:rPr>
        <w:t>ydrogen storage for energy application</w:t>
      </w:r>
      <w:r w:rsidRPr="002C2309">
        <w:rPr>
          <w:sz w:val="22"/>
          <w:szCs w:val="22"/>
          <w:lang w:val="en-US"/>
        </w:rPr>
        <w:t xml:space="preserve">, in </w:t>
      </w:r>
      <w:r w:rsidRPr="002C2309">
        <w:rPr>
          <w:i/>
          <w:iCs/>
          <w:sz w:val="22"/>
          <w:szCs w:val="22"/>
          <w:lang w:val="en-US"/>
        </w:rPr>
        <w:t>hydrogen storage</w:t>
      </w:r>
      <w:r w:rsidR="004E3BAB" w:rsidRPr="002C2309">
        <w:rPr>
          <w:sz w:val="22"/>
          <w:szCs w:val="22"/>
          <w:lang w:val="en-US"/>
        </w:rPr>
        <w:t>,</w:t>
      </w:r>
      <w:r w:rsidRPr="002C2309">
        <w:rPr>
          <w:sz w:val="22"/>
          <w:szCs w:val="22"/>
          <w:lang w:val="en-US"/>
        </w:rPr>
        <w:t xml:space="preserve"> edited by j. Liu (</w:t>
      </w:r>
      <w:proofErr w:type="spellStart"/>
      <w:r w:rsidRPr="002C2309">
        <w:rPr>
          <w:sz w:val="22"/>
          <w:szCs w:val="22"/>
          <w:lang w:val="en-US"/>
        </w:rPr>
        <w:t>intech</w:t>
      </w:r>
      <w:proofErr w:type="spellEnd"/>
      <w:r w:rsidRPr="002C2309">
        <w:rPr>
          <w:sz w:val="22"/>
          <w:szCs w:val="22"/>
          <w:lang w:val="en-US"/>
        </w:rPr>
        <w:t>, 2012).</w:t>
      </w:r>
      <w:r w:rsidR="001B1180" w:rsidRPr="002C2309">
        <w:rPr>
          <w:sz w:val="22"/>
          <w:szCs w:val="22"/>
          <w:lang w:val="nl-BE"/>
        </w:rPr>
        <w:fldChar w:fldCharType="end"/>
      </w:r>
    </w:p>
    <w:sectPr w:rsidR="001B1180" w:rsidSect="0043206B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F709D" w14:textId="77777777" w:rsidR="0052363A" w:rsidRDefault="0052363A">
      <w:r>
        <w:separator/>
      </w:r>
    </w:p>
  </w:endnote>
  <w:endnote w:type="continuationSeparator" w:id="0">
    <w:p w14:paraId="294BAA24" w14:textId="77777777" w:rsidR="0052363A" w:rsidRDefault="0052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65F66" w14:textId="77777777" w:rsidR="0052363A" w:rsidRDefault="0052363A">
      <w:r>
        <w:separator/>
      </w:r>
    </w:p>
  </w:footnote>
  <w:footnote w:type="continuationSeparator" w:id="0">
    <w:p w14:paraId="2737202B" w14:textId="77777777" w:rsidR="0052363A" w:rsidRDefault="00523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037A4"/>
    <w:rsid w:val="0017704D"/>
    <w:rsid w:val="001B1180"/>
    <w:rsid w:val="001E1D1D"/>
    <w:rsid w:val="002503AB"/>
    <w:rsid w:val="00274F14"/>
    <w:rsid w:val="00277187"/>
    <w:rsid w:val="0028071C"/>
    <w:rsid w:val="002911FC"/>
    <w:rsid w:val="002C2309"/>
    <w:rsid w:val="002D1CB1"/>
    <w:rsid w:val="002D21EC"/>
    <w:rsid w:val="00310F09"/>
    <w:rsid w:val="0032413D"/>
    <w:rsid w:val="00334AD0"/>
    <w:rsid w:val="00335E16"/>
    <w:rsid w:val="00375A97"/>
    <w:rsid w:val="003960C3"/>
    <w:rsid w:val="003D14E2"/>
    <w:rsid w:val="0040664E"/>
    <w:rsid w:val="0043206B"/>
    <w:rsid w:val="004557D0"/>
    <w:rsid w:val="004715B6"/>
    <w:rsid w:val="00495997"/>
    <w:rsid w:val="004E3BAB"/>
    <w:rsid w:val="00512D34"/>
    <w:rsid w:val="0052363A"/>
    <w:rsid w:val="00554FC8"/>
    <w:rsid w:val="00567D78"/>
    <w:rsid w:val="005707D1"/>
    <w:rsid w:val="00582060"/>
    <w:rsid w:val="005B6C23"/>
    <w:rsid w:val="0062646B"/>
    <w:rsid w:val="00643FB5"/>
    <w:rsid w:val="00665C6C"/>
    <w:rsid w:val="006A09CB"/>
    <w:rsid w:val="006F5B27"/>
    <w:rsid w:val="007136E1"/>
    <w:rsid w:val="007171BE"/>
    <w:rsid w:val="007C7E5F"/>
    <w:rsid w:val="007D253F"/>
    <w:rsid w:val="007D3121"/>
    <w:rsid w:val="00824FAC"/>
    <w:rsid w:val="00836AB6"/>
    <w:rsid w:val="00842B0C"/>
    <w:rsid w:val="00876BF9"/>
    <w:rsid w:val="008B0939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E62D3"/>
    <w:rsid w:val="00D179C8"/>
    <w:rsid w:val="00D67CE1"/>
    <w:rsid w:val="00D95DF8"/>
    <w:rsid w:val="00DA4A64"/>
    <w:rsid w:val="00DF5661"/>
    <w:rsid w:val="00E21D5F"/>
    <w:rsid w:val="00E30B97"/>
    <w:rsid w:val="00F2045D"/>
    <w:rsid w:val="00F231B3"/>
    <w:rsid w:val="00F4676D"/>
    <w:rsid w:val="00F53E42"/>
    <w:rsid w:val="00F620BE"/>
    <w:rsid w:val="00F97CF3"/>
    <w:rsid w:val="00FC36F1"/>
    <w:rsid w:val="00FD2348"/>
    <w:rsid w:val="00FD2EF6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ibliography"/>
    <w:basedOn w:val="a"/>
    <w:next w:val="a"/>
    <w:uiPriority w:val="37"/>
    <w:unhideWhenUsed/>
    <w:rsid w:val="001B1180"/>
  </w:style>
  <w:style w:type="paragraph" w:styleId="aa">
    <w:name w:val="Balloon Text"/>
    <w:basedOn w:val="a"/>
    <w:link w:val="ab"/>
    <w:uiPriority w:val="99"/>
    <w:semiHidden/>
    <w:unhideWhenUsed/>
    <w:rsid w:val="001B11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ibliography"/>
    <w:basedOn w:val="a"/>
    <w:next w:val="a"/>
    <w:uiPriority w:val="37"/>
    <w:unhideWhenUsed/>
    <w:rsid w:val="001B1180"/>
  </w:style>
  <w:style w:type="paragraph" w:styleId="aa">
    <w:name w:val="Balloon Text"/>
    <w:basedOn w:val="a"/>
    <w:link w:val="ab"/>
    <w:uiPriority w:val="99"/>
    <w:semiHidden/>
    <w:unhideWhenUsed/>
    <w:rsid w:val="001B11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7E07447-40F6-4FF4-9AD7-8DDE754A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User</cp:lastModifiedBy>
  <cp:revision>20</cp:revision>
  <cp:lastPrinted>2017-12-26T13:36:00Z</cp:lastPrinted>
  <dcterms:created xsi:type="dcterms:W3CDTF">2025-02-04T08:59:00Z</dcterms:created>
  <dcterms:modified xsi:type="dcterms:W3CDTF">2025-02-06T04:45:00Z</dcterms:modified>
</cp:coreProperties>
</file>