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28F85" w14:textId="7BB662D5" w:rsidR="00FF36FD" w:rsidRPr="002778F6" w:rsidRDefault="002778F6" w:rsidP="00FF36FD">
      <w:pPr>
        <w:jc w:val="center"/>
        <w:rPr>
          <w:bCs/>
          <w:sz w:val="22"/>
          <w:szCs w:val="22"/>
          <w:lang w:val="en-US"/>
        </w:rPr>
      </w:pPr>
      <w:r>
        <w:rPr>
          <w:bCs/>
          <w:sz w:val="22"/>
          <w:szCs w:val="22"/>
          <w:lang w:val="en-US"/>
        </w:rPr>
        <w:t xml:space="preserve">A </w:t>
      </w:r>
      <w:r w:rsidR="009349BA" w:rsidRPr="002778F6">
        <w:rPr>
          <w:bCs/>
          <w:sz w:val="22"/>
          <w:szCs w:val="22"/>
          <w:lang w:val="en-US"/>
        </w:rPr>
        <w:t xml:space="preserve">NUCLEATION MECHANISM OF </w:t>
      </w:r>
      <w:r w:rsidRPr="002778F6">
        <w:rPr>
          <w:bCs/>
          <w:sz w:val="22"/>
          <w:szCs w:val="22"/>
          <w:lang w:val="en-US"/>
        </w:rPr>
        <w:t>ZINC-BASED MOF</w:t>
      </w:r>
      <w:r>
        <w:rPr>
          <w:bCs/>
          <w:sz w:val="22"/>
          <w:szCs w:val="22"/>
          <w:lang w:val="en-US"/>
        </w:rPr>
        <w:t xml:space="preserve"> STRUCTURES</w:t>
      </w:r>
    </w:p>
    <w:p w14:paraId="4A753C4A" w14:textId="77777777" w:rsidR="002778F6" w:rsidRDefault="002778F6" w:rsidP="00643FB5">
      <w:pPr>
        <w:pStyle w:val="NormalWeb"/>
        <w:spacing w:before="0" w:beforeAutospacing="0" w:after="0" w:afterAutospacing="0"/>
        <w:ind w:firstLine="425"/>
        <w:jc w:val="center"/>
        <w:rPr>
          <w:sz w:val="22"/>
          <w:szCs w:val="22"/>
          <w:lang w:val="en-US"/>
        </w:rPr>
      </w:pPr>
    </w:p>
    <w:p w14:paraId="533894FF" w14:textId="3A085E60" w:rsidR="002911FC" w:rsidRPr="00CC18B5" w:rsidRDefault="00CC18B5" w:rsidP="00643FB5">
      <w:pPr>
        <w:pStyle w:val="NormalWeb"/>
        <w:spacing w:before="0" w:beforeAutospacing="0" w:after="0" w:afterAutospacing="0"/>
        <w:ind w:firstLine="425"/>
        <w:jc w:val="center"/>
        <w:rPr>
          <w:sz w:val="22"/>
          <w:szCs w:val="22"/>
          <w:lang w:val="en-US"/>
        </w:rPr>
      </w:pPr>
      <w:r w:rsidRPr="00CC18B5">
        <w:rPr>
          <w:sz w:val="22"/>
          <w:szCs w:val="22"/>
          <w:lang w:val="en-US"/>
        </w:rPr>
        <w:t>A</w:t>
      </w:r>
      <w:r w:rsidR="005455E2">
        <w:rPr>
          <w:sz w:val="22"/>
          <w:szCs w:val="22"/>
          <w:lang w:val="en-US"/>
        </w:rPr>
        <w:t>ziza</w:t>
      </w:r>
      <w:r w:rsidRPr="00CC18B5">
        <w:rPr>
          <w:sz w:val="22"/>
          <w:szCs w:val="22"/>
          <w:lang w:val="en-US"/>
        </w:rPr>
        <w:t>.Ergasheva</w:t>
      </w:r>
      <w:r w:rsidR="002911FC" w:rsidRPr="00CC18B5">
        <w:rPr>
          <w:sz w:val="22"/>
          <w:szCs w:val="22"/>
          <w:vertAlign w:val="superscript"/>
          <w:lang w:val="en-US"/>
        </w:rPr>
        <w:t>1</w:t>
      </w:r>
      <w:r w:rsidR="007A4950">
        <w:rPr>
          <w:sz w:val="22"/>
          <w:szCs w:val="22"/>
          <w:lang w:val="en-US"/>
        </w:rPr>
        <w:t xml:space="preserve"> and </w:t>
      </w:r>
      <w:r w:rsidRPr="00CC18B5">
        <w:rPr>
          <w:sz w:val="22"/>
          <w:szCs w:val="22"/>
          <w:lang w:val="en-US"/>
        </w:rPr>
        <w:t>U</w:t>
      </w:r>
      <w:r w:rsidR="005455E2">
        <w:rPr>
          <w:sz w:val="22"/>
          <w:szCs w:val="22"/>
          <w:lang w:val="en-US"/>
        </w:rPr>
        <w:t>medjon Kh</w:t>
      </w:r>
      <w:bookmarkStart w:id="0" w:name="_GoBack"/>
      <w:bookmarkEnd w:id="0"/>
      <w:r w:rsidRPr="00CC18B5">
        <w:rPr>
          <w:sz w:val="22"/>
          <w:szCs w:val="22"/>
          <w:lang w:val="en-US"/>
        </w:rPr>
        <w:t>alilov</w:t>
      </w:r>
      <w:r w:rsidRPr="00CC18B5">
        <w:rPr>
          <w:sz w:val="22"/>
          <w:szCs w:val="22"/>
          <w:vertAlign w:val="superscript"/>
          <w:lang w:val="en-US"/>
        </w:rPr>
        <w:t>1,2</w:t>
      </w:r>
    </w:p>
    <w:p w14:paraId="3CB8DA05" w14:textId="4288CDD2" w:rsidR="002911FC" w:rsidRPr="00CC18B5" w:rsidRDefault="002911FC" w:rsidP="00CC18B5">
      <w:pPr>
        <w:pStyle w:val="NormalWeb"/>
        <w:spacing w:before="0" w:beforeAutospacing="0" w:after="0" w:afterAutospacing="0"/>
        <w:ind w:firstLine="425"/>
        <w:jc w:val="center"/>
        <w:rPr>
          <w:sz w:val="22"/>
          <w:szCs w:val="22"/>
          <w:lang w:val="en-US"/>
        </w:rPr>
      </w:pPr>
      <w:r w:rsidRPr="00CC18B5">
        <w:rPr>
          <w:sz w:val="22"/>
          <w:szCs w:val="22"/>
          <w:vertAlign w:val="superscript"/>
          <w:lang w:val="en-US"/>
        </w:rPr>
        <w:t>1)</w:t>
      </w:r>
      <w:r w:rsidRPr="00CC18B5">
        <w:rPr>
          <w:sz w:val="22"/>
          <w:szCs w:val="22"/>
          <w:lang w:val="en-US"/>
        </w:rPr>
        <w:t xml:space="preserve"> </w:t>
      </w:r>
      <w:r w:rsidR="00CC18B5" w:rsidRPr="00CC18B5">
        <w:rPr>
          <w:bCs/>
          <w:sz w:val="22"/>
          <w:szCs w:val="22"/>
          <w:lang w:val="en-US"/>
        </w:rPr>
        <w:t>Institute of Ion-Plasma and Laser Technologies, Tashkent, Uzbekistan</w:t>
      </w:r>
    </w:p>
    <w:p w14:paraId="57A102AD" w14:textId="77777777" w:rsidR="00CC18B5" w:rsidRPr="00CC18B5" w:rsidRDefault="00CC18B5" w:rsidP="00CC18B5">
      <w:pPr>
        <w:ind w:left="993" w:hanging="993"/>
        <w:contextualSpacing/>
        <w:jc w:val="center"/>
        <w:rPr>
          <w:bCs/>
          <w:sz w:val="22"/>
          <w:szCs w:val="22"/>
          <w:lang w:val="en-US"/>
        </w:rPr>
      </w:pPr>
      <w:r w:rsidRPr="00CC18B5">
        <w:rPr>
          <w:sz w:val="22"/>
          <w:szCs w:val="22"/>
          <w:vertAlign w:val="superscript"/>
          <w:lang w:val="en-US"/>
        </w:rPr>
        <w:t>2</w:t>
      </w:r>
      <w:r w:rsidR="007C7E5F" w:rsidRPr="00CC18B5">
        <w:rPr>
          <w:sz w:val="22"/>
          <w:szCs w:val="22"/>
          <w:vertAlign w:val="superscript"/>
          <w:lang w:val="en-US"/>
        </w:rPr>
        <w:t>)</w:t>
      </w:r>
      <w:r w:rsidR="007C7E5F" w:rsidRPr="00CC18B5">
        <w:rPr>
          <w:sz w:val="22"/>
          <w:szCs w:val="22"/>
          <w:lang w:val="en-US"/>
        </w:rPr>
        <w:t xml:space="preserve"> </w:t>
      </w:r>
      <w:r w:rsidRPr="00CC18B5">
        <w:rPr>
          <w:bCs/>
          <w:sz w:val="22"/>
          <w:szCs w:val="22"/>
          <w:lang w:val="en-US"/>
        </w:rPr>
        <w:t>University of Antwerp, Antwerp, Belgium</w:t>
      </w:r>
    </w:p>
    <w:p w14:paraId="4979EE2C" w14:textId="42C9ED4A" w:rsidR="0028071C" w:rsidRPr="00CC18B5" w:rsidRDefault="0028071C" w:rsidP="00CC18B5">
      <w:pPr>
        <w:ind w:left="993" w:hanging="993"/>
        <w:contextualSpacing/>
        <w:jc w:val="center"/>
        <w:rPr>
          <w:sz w:val="22"/>
          <w:szCs w:val="22"/>
          <w:lang w:val="en-US"/>
        </w:rPr>
      </w:pPr>
      <w:r w:rsidRPr="00CC18B5">
        <w:rPr>
          <w:sz w:val="22"/>
          <w:szCs w:val="22"/>
          <w:vertAlign w:val="superscript"/>
          <w:lang w:val="en-US"/>
        </w:rPr>
        <w:t>*)</w:t>
      </w:r>
      <w:r w:rsidRPr="00CC18B5">
        <w:rPr>
          <w:sz w:val="22"/>
          <w:szCs w:val="22"/>
          <w:lang w:val="en-US"/>
        </w:rPr>
        <w:t xml:space="preserve"> </w:t>
      </w:r>
      <w:r w:rsidR="00CC18B5" w:rsidRPr="00CC18B5">
        <w:rPr>
          <w:sz w:val="22"/>
          <w:szCs w:val="22"/>
          <w:lang w:val="en-US"/>
        </w:rPr>
        <w:t>azizaabdujabborqizi@gmail.com</w:t>
      </w:r>
    </w:p>
    <w:p w14:paraId="3865E0FD" w14:textId="77777777" w:rsidR="00F231B3" w:rsidRPr="003D0C6A" w:rsidRDefault="00F231B3" w:rsidP="0028071C">
      <w:pPr>
        <w:jc w:val="both"/>
        <w:rPr>
          <w:sz w:val="22"/>
          <w:szCs w:val="22"/>
          <w:lang w:val="en-US"/>
        </w:rPr>
      </w:pPr>
    </w:p>
    <w:p w14:paraId="5AE1A730" w14:textId="25464181" w:rsidR="009349BA" w:rsidRDefault="002778F6" w:rsidP="00FF36FD">
      <w:pPr>
        <w:ind w:firstLine="425"/>
        <w:jc w:val="both"/>
        <w:rPr>
          <w:noProof/>
          <w:sz w:val="22"/>
          <w:szCs w:val="22"/>
          <w:lang w:val="en-US" w:eastAsia="en-US"/>
        </w:rPr>
      </w:pPr>
      <w:r w:rsidRPr="002778F6">
        <w:rPr>
          <w:noProof/>
          <w:sz w:val="22"/>
          <w:szCs w:val="22"/>
          <w:lang w:val="en-US" w:eastAsia="en-US"/>
        </w:rPr>
        <w:t>Metal-organic frameworks (MOFs) are of interest due to their high porosity and are used in catalysis, gas separation, and biology</w:t>
      </w:r>
      <w:r w:rsidR="00BD080D">
        <w:rPr>
          <w:noProof/>
          <w:sz w:val="22"/>
          <w:szCs w:val="22"/>
          <w:lang w:val="en-US" w:eastAsia="en-US"/>
        </w:rPr>
        <w:fldChar w:fldCharType="begin"/>
      </w:r>
      <w:r w:rsidR="00BD080D">
        <w:rPr>
          <w:noProof/>
          <w:sz w:val="22"/>
          <w:szCs w:val="22"/>
          <w:lang w:val="en-US" w:eastAsia="en-US"/>
        </w:rPr>
        <w:instrText xml:space="preserve"> ADDIN ZOTERO_ITEM CSL_CITATION {"citationID":"7rDwJcpA","properties":{"formattedCitation":"\\uc0\\u160{}[1\\uc0\\u8211{}4]","plainCitation":" [1–4]","noteIndex":0},"citationItems":[{"id":1826,"uris":["http://zotero.org/users/9667666/items/BV7MDWDI"],"itemData":{"id":1826,"type":"article-journal","abstract":"The long-standing challenge of designing and constructing new crystalline solid-state materials from molecular building blocks is just beginning to be addressed with success. A conceptual approach that requires the use of secondary building units to direct the assembly of ordered frameworks epitomizes this process: we call this approach reticular synthesis. This chemistry has yielded materials designed to have predetermined structures, compositions and properties. In particular, highly porous frameworks held together by strong metal–oxygen–carbon bonds and with exceptionally large surface area and capacity for gas storage have been prepared and their pore metrics systematically varied and functionalized.","container-title":"Nature","DOI":"10.1038/nature01650","ISSN":"1476-4687","issue":"6941","language":"en","license":"2003 Macmillan Magazines Ltd.","note":"publisher: Nature Publishing Group","page":"705-714","source":"www.nature.com","title":"Reticular synthesis and the design of new materials","volume":"423","author":[{"family":"Yaghi","given":"Omar M."},{"family":"O'Keeffe","given":"Michael"},{"family":"Ockwig","given":"Nathan W."},{"family":"Chae","given":"Hee K."},{"family":"Eddaoudi","given":"Mohamed"},{"family":"Kim","given":"Jaheon"}],"issued":{"date-parts":[["2003",6]]}}},{"id":2143,"uris":["http://zotero.org/users/9667666/items/YSA85HG4"],"itemData":{"id":2143,"type":"article-journal","abstract":"Metal–organic frameworks (MOFs) with high surface area and tunable chemical structures have attracted tremendous attention. Recently, the utilization of solar energy for CO2 conversion to produce valuable chemicals or fuels has become extremely appealing. The interior of MOFs can be designed to have defects, heteroatoms and embedded nanoscale metal catalysts for the development of CO2 conversion. In this review, the recent development of MOFs-based catalysts for CO2 conversion reactions, including photocatalysis and electrocatalysis are summarized. In particular, the preparation and mechanism of CO2 conversion-based MOFs are discussed. The examples are expected to provide deeper understanding in preparing highly active and stable MOFs-based CO2 conversion materials.","container-title":"Advanced Energy Materials","DOI":"10.1002/aenm.201801587","ISSN":"1614-6840","issue":"32","language":"en","license":"© 2018 WILEY-VCH Verlag GmbH &amp; Co. KGaA, Weinheim","note":"_eprint: https://onlinelibrary.wiley.com/doi/pdf/10.1002/aenm.201801587","page":"1801587","source":"Wiley Online Library","title":"MOFs-Based Heterogeneous Catalysts: New Opportunities for Energy-Related CO2 Conversion","title-short":"MOFs-Based Heterogeneous Catalysts","volume":"8","author":[{"family":"Lei","given":"Zhendong"},{"family":"Xue","given":"Yuancheng"},{"family":"Chen","given":"Wenqian"},{"family":"Qiu","given":"Wenhui"},{"family":"Zhang","given":"Yong"},{"family":"Horike","given":"Satoshi"},{"family":"Tang","given":"Liang"}],"issued":{"date-parts":[["2018"]]}}},{"id":2144,"uris":["http://zotero.org/users/9667666/items/BKIT95PS"],"itemData":{"id":2144,"type":"article-journal","abstract":"As modern society develops, the need for clean energy becomes increasingly important on a global scale. Because of this, the exploration of novel materials for energy storage and utilization is urgently needed to achieve low-carbon economy and sustainable development. Among these novel materials, metal–organic frameworks (MOFs), a class of porous materials, have gained increasing attention for utilization in energy storage and conversion systems because of ultra-high surface areas, controllable structures, large pore volumes and tunable porosities. In addition to pristine MOFs, MOF derivatives such as porous carbons and nanostructured metal oxides can also exhibit promising performances in energy storage and conversion applications. In this review, the latest progress and breakthrough in the application of MOF and MOF-derived materials for energy storage and conversion devices are summarized, including Li-based batteries (Li-ion, Li–S and Li–O2 batteries), Na-ion batteries, supercapacitors, solar cells and fuel cells.","container-title":"Electrochemical Energy Reviews","DOI":"10.1007/s41918-018-0024-x","ISSN":"2520-8136","issue":"1","journalAbbreviation":"Electrochem. Energ. Rev.","language":"en","page":"29-104","source":"Springer Link","title":"Metal–Organic Frameworks (MOFs) and MOF-Derived Materials for Energy Storage and Conversion","volume":"2","author":[{"family":"Zhang","given":"Xu"},{"family":"Chen","given":"An"},{"family":"Zhong","given":"Ming"},{"family":"Zhang","given":"Zihe"},{"family":"Zhang","given":"Xin"},{"family":"Zhou","given":"Zhen"},{"family":"Bu","given":"Xian-He"}],"issued":{"date-parts":[["2019",3,1]]}}},{"id":2145,"uris":["http://zotero.org/users/9667666/items/KFHD39H8"],"itemData":{"id":2145,"type":"article-journal","abstract":"Nowadays in our society, lung cancer is exhibiting a high mortality rate and threat to human health. Conventional diagnostic techniques used in the field of lung cancer often necessitate the use of extensive instrumentation, exhibit a tendency for false positives, and are not suitable for widespread early screening purposes. Conventional approaches to treat lung cancer primarily involve surgery, chemotherapy, and radiotherapy. However, these broad-spectrum treatments suffer from drawbacks such as imprecise targeting and significant side effects, which restrict their widespread use. Metal–organic frameworks (MOFs) have attracted significant attention in the diagnosis and treatment of lung cancer owing to their tunable electronic properties and structures and potential applications. These porous nanomaterials are formed through the intricate assembly of metal centers and organic ligands, resulting in highly versatile frameworks. Compared to traditional diagnostic and therapeutic modalities, MOFs can improve the sensitivity of lung cancer biomarker detection in the diagnosis of lung cancer. In terms of treatment, they can significantly reduce side effects and improve therapeutic efficacy. Hence, this perspective provides an overview concerning the advancements made in the field of MOFs as potent biosensors for lung cancer biomarkers. It also delves into the latest research dealing with the use of MOFs as carriers for drug delivery. Additionally, it explores the applications of MOFs in various therapeutic approaches, including chemodynamic therapy, photodynamic therapy, photothermal therapy, and immunotherapy. Furthermore, this review comprehensively analyses potential applications of MOFs as biosensors in the field of lung cancer diagnosis and combines different therapeutic approaches aiming for enhanced therapeutic efficacy. It also presents a concise overview of the existing obstacles, aiming to pave the way for future advancements in lung cancer diagnosis and treatment.","container-title":"Biomaterials Science","DOI":"10.1039/D4BM00488D","ISSN":"2047-4849","issue":"15","journalAbbreviation":"Biomater. Sci.","language":"en","note":"publisher: The Royal Society of Chemistry","page":"3725-3744","source":"pubs.rsc.org","title":"Prospects, advances and biological applications of MOF-based platform for the treatment of lung cancer","volume":"12","author":[{"family":"Deng","given":"Yijun"},{"family":"Guo","given":"Manli"},{"family":"Zhou","given":"Luyi"},{"family":"Huang","given":"Yong"},{"family":"Srivastava","given":"Shreya"},{"family":"Kumar","given":"Abhinav"},{"family":"Liu","given":"Jian-Qiang"}],"issued":{"date-parts":[["2024",7,23]]}}}],"schema":"https://github.com/citation-style-language/schema/raw/master/csl-citation.json"} </w:instrText>
      </w:r>
      <w:r w:rsidR="00BD080D">
        <w:rPr>
          <w:noProof/>
          <w:sz w:val="22"/>
          <w:szCs w:val="22"/>
          <w:lang w:val="en-US" w:eastAsia="en-US"/>
        </w:rPr>
        <w:fldChar w:fldCharType="separate"/>
      </w:r>
      <w:r w:rsidR="00BD080D" w:rsidRPr="00BD080D">
        <w:rPr>
          <w:sz w:val="22"/>
          <w:lang w:val="en-US"/>
        </w:rPr>
        <w:t> [1–4]</w:t>
      </w:r>
      <w:r w:rsidR="00BD080D">
        <w:rPr>
          <w:noProof/>
          <w:sz w:val="22"/>
          <w:szCs w:val="22"/>
          <w:lang w:val="en-US" w:eastAsia="en-US"/>
        </w:rPr>
        <w:fldChar w:fldCharType="end"/>
      </w:r>
      <w:r w:rsidR="00BD080D">
        <w:rPr>
          <w:noProof/>
          <w:sz w:val="22"/>
          <w:szCs w:val="22"/>
          <w:lang w:val="en-US" w:eastAsia="en-US"/>
        </w:rPr>
        <w:t>.</w:t>
      </w:r>
      <w:r w:rsidR="007A4950">
        <w:rPr>
          <w:noProof/>
          <w:sz w:val="22"/>
          <w:szCs w:val="22"/>
          <w:lang w:val="en-US" w:eastAsia="en-US"/>
        </w:rPr>
        <w:t xml:space="preserve"> </w:t>
      </w:r>
      <w:r w:rsidRPr="002778F6">
        <w:rPr>
          <w:noProof/>
          <w:sz w:val="22"/>
          <w:szCs w:val="22"/>
          <w:lang w:val="en-US" w:eastAsia="en-US"/>
        </w:rPr>
        <w:t xml:space="preserve">Although numerous experimental studies have been conducted on MOF synthesis, the nucleation mechanism has not been sufficiently investigated. </w:t>
      </w:r>
      <w:r w:rsidR="00EB32D1" w:rsidRPr="00EB32D1">
        <w:rPr>
          <w:noProof/>
          <w:sz w:val="22"/>
          <w:szCs w:val="22"/>
          <w:lang w:val="en-US" w:eastAsia="en-US"/>
        </w:rPr>
        <w:t xml:space="preserve">Therefore, in this study, we explore the nucleation processes of IRMOF-1 using </w:t>
      </w:r>
      <w:r w:rsidR="00EB32D1">
        <w:rPr>
          <w:noProof/>
          <w:sz w:val="22"/>
          <w:szCs w:val="22"/>
          <w:lang w:val="en-US" w:eastAsia="en-US"/>
        </w:rPr>
        <w:t xml:space="preserve">reactive </w:t>
      </w:r>
      <w:r w:rsidR="00EB32D1" w:rsidRPr="00EB32D1">
        <w:rPr>
          <w:noProof/>
          <w:sz w:val="22"/>
          <w:szCs w:val="22"/>
          <w:lang w:val="en-US" w:eastAsia="en-US"/>
        </w:rPr>
        <w:t>Molecular Dynamics simulations. The preliminary results indicated that the selected ligand (1,4-benzodicarboxylate) and the metal node (Zn₄O) preferentially combine, forming the IRMOF-1 unit cell</w:t>
      </w:r>
      <w:r w:rsidR="00BD7E82">
        <w:rPr>
          <w:noProof/>
          <w:sz w:val="22"/>
          <w:szCs w:val="22"/>
          <w:lang w:val="en-US" w:eastAsia="en-US"/>
        </w:rPr>
        <w:t xml:space="preserve"> (Fig. 1)</w:t>
      </w:r>
      <w:r w:rsidR="00EB32D1" w:rsidRPr="00EB32D1">
        <w:rPr>
          <w:noProof/>
          <w:sz w:val="22"/>
          <w:szCs w:val="22"/>
          <w:lang w:val="en-US" w:eastAsia="en-US"/>
        </w:rPr>
        <w:t>.</w:t>
      </w:r>
    </w:p>
    <w:p w14:paraId="7EC20082" w14:textId="77777777" w:rsidR="00DE6A10" w:rsidRDefault="00DE6A10" w:rsidP="00FF36FD">
      <w:pPr>
        <w:ind w:firstLine="425"/>
        <w:jc w:val="both"/>
        <w:rPr>
          <w:noProof/>
          <w:sz w:val="22"/>
          <w:szCs w:val="22"/>
          <w:lang w:val="en-US" w:eastAsia="en-US"/>
        </w:rPr>
      </w:pPr>
    </w:p>
    <w:p w14:paraId="61BDDC5D" w14:textId="0E96C62B" w:rsidR="003D0C6A" w:rsidRPr="00BD080D" w:rsidRDefault="009349BA" w:rsidP="002778F6">
      <w:pPr>
        <w:ind w:firstLine="425"/>
        <w:jc w:val="center"/>
        <w:rPr>
          <w:sz w:val="22"/>
          <w:szCs w:val="22"/>
          <w:lang w:val="en-US"/>
        </w:rPr>
      </w:pPr>
      <w:r>
        <w:rPr>
          <w:noProof/>
          <w:lang w:val="en-US" w:eastAsia="en-US"/>
        </w:rPr>
        <w:drawing>
          <wp:anchor distT="0" distB="0" distL="114300" distR="114300" simplePos="0" relativeHeight="251660288" behindDoc="0" locked="0" layoutInCell="1" allowOverlap="1" wp14:anchorId="032C8C12" wp14:editId="04FB06A3">
            <wp:simplePos x="0" y="0"/>
            <wp:positionH relativeFrom="column">
              <wp:posOffset>1182370</wp:posOffset>
            </wp:positionH>
            <wp:positionV relativeFrom="paragraph">
              <wp:posOffset>73660</wp:posOffset>
            </wp:positionV>
            <wp:extent cx="1433195" cy="2053590"/>
            <wp:effectExtent l="0" t="5397" r="9207" b="9208"/>
            <wp:wrapTopAndBottom/>
            <wp:docPr id="1543981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981958" name=""/>
                    <pic:cNvPicPr/>
                  </pic:nvPicPr>
                  <pic:blipFill rotWithShape="1">
                    <a:blip r:embed="rId7">
                      <a:extLst>
                        <a:ext uri="{28A0092B-C50C-407E-A947-70E740481C1C}">
                          <a14:useLocalDpi xmlns:a14="http://schemas.microsoft.com/office/drawing/2010/main" val="0"/>
                        </a:ext>
                      </a:extLst>
                    </a:blip>
                    <a:srcRect l="16083" t="2721" r="29342" b="6876"/>
                    <a:stretch/>
                  </pic:blipFill>
                  <pic:spPr bwMode="auto">
                    <a:xfrm rot="5400000">
                      <a:off x="0" y="0"/>
                      <a:ext cx="1433195" cy="2053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40C19">
        <w:rPr>
          <w:sz w:val="18"/>
          <w:szCs w:val="18"/>
          <w:lang w:val="en-US"/>
        </w:rPr>
        <w:t>Figure</w:t>
      </w:r>
      <w:r>
        <w:rPr>
          <w:sz w:val="18"/>
          <w:szCs w:val="18"/>
          <w:lang w:val="en-US"/>
        </w:rPr>
        <w:t xml:space="preserve"> 1. </w:t>
      </w:r>
      <w:r w:rsidRPr="00FC7CAE">
        <w:rPr>
          <w:sz w:val="18"/>
          <w:szCs w:val="18"/>
          <w:lang w:val="en-US"/>
        </w:rPr>
        <w:t xml:space="preserve">Nucleation of </w:t>
      </w:r>
      <w:r>
        <w:rPr>
          <w:sz w:val="18"/>
          <w:szCs w:val="18"/>
          <w:lang w:val="en-US"/>
        </w:rPr>
        <w:t>Mono IR</w:t>
      </w:r>
      <w:r w:rsidRPr="00FC7CAE">
        <w:rPr>
          <w:sz w:val="18"/>
          <w:szCs w:val="18"/>
          <w:lang w:val="en-US"/>
        </w:rPr>
        <w:t>MOF</w:t>
      </w:r>
      <w:r>
        <w:rPr>
          <w:sz w:val="18"/>
          <w:szCs w:val="18"/>
          <w:lang w:val="en-US"/>
        </w:rPr>
        <w:t>-1</w:t>
      </w:r>
      <w:r w:rsidRPr="00FC7CAE">
        <w:rPr>
          <w:sz w:val="18"/>
          <w:szCs w:val="18"/>
          <w:lang w:val="en-US"/>
        </w:rPr>
        <w:t xml:space="preserve"> based on Zn</w:t>
      </w:r>
      <w:r w:rsidRPr="00BD080D">
        <w:rPr>
          <w:sz w:val="18"/>
          <w:szCs w:val="18"/>
          <w:vertAlign w:val="subscript"/>
          <w:lang w:val="en-US"/>
        </w:rPr>
        <w:t>4</w:t>
      </w:r>
      <w:r w:rsidRPr="00FC7CAE">
        <w:rPr>
          <w:sz w:val="18"/>
          <w:szCs w:val="18"/>
          <w:lang w:val="en-US"/>
        </w:rPr>
        <w:t>O and 1-4-benzodicarboxylate</w:t>
      </w:r>
    </w:p>
    <w:p w14:paraId="22FD9907" w14:textId="254F5A6C" w:rsidR="00375A97" w:rsidRDefault="002778F6" w:rsidP="00375A97">
      <w:pPr>
        <w:ind w:firstLine="425"/>
        <w:jc w:val="both"/>
        <w:rPr>
          <w:sz w:val="22"/>
          <w:szCs w:val="22"/>
          <w:lang w:val="en-US"/>
        </w:rPr>
      </w:pPr>
      <w:r w:rsidRPr="002778F6">
        <w:rPr>
          <w:sz w:val="22"/>
          <w:szCs w:val="22"/>
          <w:lang w:val="en-US"/>
        </w:rPr>
        <w:t>This study provides new insights into the early synthesis stages of zinc-based IRMOFs.</w:t>
      </w:r>
    </w:p>
    <w:p w14:paraId="6404F1D5" w14:textId="77777777" w:rsidR="007A4950" w:rsidRPr="00BD080D" w:rsidRDefault="007A4950" w:rsidP="00375A97">
      <w:pPr>
        <w:ind w:firstLine="425"/>
        <w:jc w:val="both"/>
        <w:rPr>
          <w:sz w:val="22"/>
          <w:szCs w:val="22"/>
          <w:lang w:val="en-US"/>
        </w:rPr>
      </w:pPr>
    </w:p>
    <w:p w14:paraId="2856E16D" w14:textId="142D1716" w:rsidR="00DF5661" w:rsidRDefault="003D0C6A" w:rsidP="003D0C6A">
      <w:pPr>
        <w:ind w:firstLine="425"/>
        <w:jc w:val="center"/>
        <w:rPr>
          <w:sz w:val="22"/>
          <w:szCs w:val="22"/>
          <w:lang w:val="en-US"/>
        </w:rPr>
      </w:pPr>
      <w:r>
        <w:rPr>
          <w:sz w:val="22"/>
          <w:szCs w:val="22"/>
          <w:lang w:val="en-US"/>
        </w:rPr>
        <w:t>REFERENCES</w:t>
      </w:r>
    </w:p>
    <w:p w14:paraId="53AFDB8E" w14:textId="77777777" w:rsidR="003D0C6A" w:rsidRDefault="003D0C6A" w:rsidP="003D0C6A">
      <w:pPr>
        <w:ind w:firstLine="425"/>
        <w:jc w:val="center"/>
        <w:rPr>
          <w:sz w:val="22"/>
          <w:szCs w:val="22"/>
          <w:lang w:val="en-US"/>
        </w:rPr>
      </w:pPr>
    </w:p>
    <w:p w14:paraId="35F8BE4B" w14:textId="5084CE66" w:rsidR="00BD080D" w:rsidRPr="00BD080D" w:rsidRDefault="003D0C6A" w:rsidP="00BD080D">
      <w:pPr>
        <w:pStyle w:val="Bibliography"/>
        <w:rPr>
          <w:sz w:val="22"/>
          <w:lang w:val="en-US"/>
        </w:rPr>
      </w:pPr>
      <w:r>
        <w:rPr>
          <w:sz w:val="22"/>
          <w:szCs w:val="22"/>
        </w:rPr>
        <w:fldChar w:fldCharType="begin"/>
      </w:r>
      <w:r w:rsidRPr="003D0C6A">
        <w:rPr>
          <w:sz w:val="22"/>
          <w:szCs w:val="22"/>
          <w:lang w:val="en-US"/>
        </w:rPr>
        <w:instrText xml:space="preserve"> ADDIN ZOTERO_BIBL {"uncited":[],"omitted":[],"custom":[]} CSL_BIBLIOGRAPHY </w:instrText>
      </w:r>
      <w:r>
        <w:rPr>
          <w:sz w:val="22"/>
          <w:szCs w:val="22"/>
        </w:rPr>
        <w:fldChar w:fldCharType="separate"/>
      </w:r>
      <w:r w:rsidR="00BD080D" w:rsidRPr="00BD080D">
        <w:rPr>
          <w:sz w:val="22"/>
          <w:lang w:val="en-US"/>
        </w:rPr>
        <w:t>[1]</w:t>
      </w:r>
      <w:r w:rsidR="00BD080D" w:rsidRPr="00BD080D">
        <w:rPr>
          <w:sz w:val="22"/>
          <w:lang w:val="en-US"/>
        </w:rPr>
        <w:tab/>
        <w:t>O. M. Yaghi</w:t>
      </w:r>
      <w:r w:rsidR="00BD080D">
        <w:rPr>
          <w:sz w:val="22"/>
          <w:lang w:val="en-US"/>
        </w:rPr>
        <w:t xml:space="preserve"> et al</w:t>
      </w:r>
      <w:r w:rsidR="00BD080D" w:rsidRPr="00BD080D">
        <w:rPr>
          <w:sz w:val="22"/>
          <w:lang w:val="en-US"/>
        </w:rPr>
        <w:t xml:space="preserve">, Nature </w:t>
      </w:r>
      <w:r w:rsidR="00BD080D" w:rsidRPr="00BD080D">
        <w:rPr>
          <w:b/>
          <w:bCs/>
          <w:sz w:val="22"/>
          <w:lang w:val="en-US"/>
        </w:rPr>
        <w:t>423</w:t>
      </w:r>
      <w:r w:rsidR="00BD080D" w:rsidRPr="00BD080D">
        <w:rPr>
          <w:sz w:val="22"/>
          <w:lang w:val="en-US"/>
        </w:rPr>
        <w:t>, 705 (2003).</w:t>
      </w:r>
    </w:p>
    <w:p w14:paraId="22A926D4" w14:textId="25A943A3" w:rsidR="00BD080D" w:rsidRPr="00BD080D" w:rsidRDefault="00BD080D" w:rsidP="00BD080D">
      <w:pPr>
        <w:pStyle w:val="Bibliography"/>
        <w:rPr>
          <w:sz w:val="22"/>
          <w:lang w:val="en-US"/>
        </w:rPr>
      </w:pPr>
      <w:r w:rsidRPr="00BD080D">
        <w:rPr>
          <w:sz w:val="22"/>
          <w:lang w:val="en-US"/>
        </w:rPr>
        <w:t>[2]</w:t>
      </w:r>
      <w:r w:rsidRPr="00BD080D">
        <w:rPr>
          <w:sz w:val="22"/>
          <w:lang w:val="en-US"/>
        </w:rPr>
        <w:tab/>
        <w:t>Z. Lei</w:t>
      </w:r>
      <w:r>
        <w:rPr>
          <w:sz w:val="22"/>
          <w:lang w:val="en-US"/>
        </w:rPr>
        <w:t xml:space="preserve"> et al.</w:t>
      </w:r>
      <w:r w:rsidRPr="00BD080D">
        <w:rPr>
          <w:sz w:val="22"/>
          <w:lang w:val="en-US"/>
        </w:rPr>
        <w:t xml:space="preserve">, Advanced Energy Materials </w:t>
      </w:r>
      <w:r w:rsidRPr="00BD080D">
        <w:rPr>
          <w:b/>
          <w:bCs/>
          <w:sz w:val="22"/>
          <w:lang w:val="en-US"/>
        </w:rPr>
        <w:t>8</w:t>
      </w:r>
      <w:r w:rsidRPr="00BD080D">
        <w:rPr>
          <w:sz w:val="22"/>
          <w:lang w:val="en-US"/>
        </w:rPr>
        <w:t>, 1801587 (2018).</w:t>
      </w:r>
    </w:p>
    <w:p w14:paraId="4E4355DA" w14:textId="65FE006C" w:rsidR="00BD080D" w:rsidRPr="00BD080D" w:rsidRDefault="00BD080D" w:rsidP="00BD080D">
      <w:pPr>
        <w:pStyle w:val="Bibliography"/>
        <w:rPr>
          <w:sz w:val="22"/>
          <w:lang w:val="en-US"/>
        </w:rPr>
      </w:pPr>
      <w:r w:rsidRPr="00BD080D">
        <w:rPr>
          <w:sz w:val="22"/>
          <w:lang w:val="en-US"/>
        </w:rPr>
        <w:t>[3]</w:t>
      </w:r>
      <w:r w:rsidRPr="00BD080D">
        <w:rPr>
          <w:sz w:val="22"/>
          <w:lang w:val="en-US"/>
        </w:rPr>
        <w:tab/>
        <w:t>X. Zhang</w:t>
      </w:r>
      <w:r>
        <w:rPr>
          <w:sz w:val="22"/>
          <w:lang w:val="en-US"/>
        </w:rPr>
        <w:t xml:space="preserve"> et al.</w:t>
      </w:r>
      <w:r w:rsidRPr="00BD080D">
        <w:rPr>
          <w:sz w:val="22"/>
          <w:lang w:val="en-US"/>
        </w:rPr>
        <w:t xml:space="preserve">, Electrochem. Energ. Rev. </w:t>
      </w:r>
      <w:r w:rsidRPr="00BD080D">
        <w:rPr>
          <w:b/>
          <w:bCs/>
          <w:sz w:val="22"/>
          <w:lang w:val="en-US"/>
        </w:rPr>
        <w:t>2</w:t>
      </w:r>
      <w:r w:rsidRPr="00BD080D">
        <w:rPr>
          <w:sz w:val="22"/>
          <w:lang w:val="en-US"/>
        </w:rPr>
        <w:t>, 29 (2019).</w:t>
      </w:r>
    </w:p>
    <w:p w14:paraId="084166F0" w14:textId="2AF33A96" w:rsidR="00BD080D" w:rsidRPr="00BD080D" w:rsidRDefault="00BD080D" w:rsidP="00BD080D">
      <w:pPr>
        <w:pStyle w:val="Bibliography"/>
        <w:rPr>
          <w:sz w:val="22"/>
          <w:lang w:val="en-US"/>
        </w:rPr>
      </w:pPr>
      <w:r w:rsidRPr="00BD080D">
        <w:rPr>
          <w:sz w:val="22"/>
          <w:lang w:val="en-US"/>
        </w:rPr>
        <w:t>[4]</w:t>
      </w:r>
      <w:r w:rsidRPr="00BD080D">
        <w:rPr>
          <w:sz w:val="22"/>
          <w:lang w:val="en-US"/>
        </w:rPr>
        <w:tab/>
        <w:t>Y. Deng</w:t>
      </w:r>
      <w:r>
        <w:rPr>
          <w:sz w:val="22"/>
          <w:lang w:val="en-US"/>
        </w:rPr>
        <w:t xml:space="preserve"> et al.</w:t>
      </w:r>
      <w:r w:rsidRPr="00BD080D">
        <w:rPr>
          <w:sz w:val="22"/>
          <w:lang w:val="en-US"/>
        </w:rPr>
        <w:t xml:space="preserve">, Biomater. Sci. </w:t>
      </w:r>
      <w:r w:rsidRPr="00BD080D">
        <w:rPr>
          <w:b/>
          <w:bCs/>
          <w:sz w:val="22"/>
          <w:lang w:val="en-US"/>
        </w:rPr>
        <w:t>12</w:t>
      </w:r>
      <w:r w:rsidRPr="00BD080D">
        <w:rPr>
          <w:sz w:val="22"/>
          <w:lang w:val="en-US"/>
        </w:rPr>
        <w:t>, 3725 (2024).</w:t>
      </w:r>
    </w:p>
    <w:p w14:paraId="79DFAC97" w14:textId="442A0436" w:rsidR="003D0C6A" w:rsidRPr="003D0C6A" w:rsidRDefault="003D0C6A" w:rsidP="009349BA">
      <w:pPr>
        <w:rPr>
          <w:sz w:val="22"/>
          <w:szCs w:val="22"/>
        </w:rPr>
      </w:pPr>
      <w:r>
        <w:rPr>
          <w:sz w:val="22"/>
          <w:szCs w:val="22"/>
        </w:rPr>
        <w:fldChar w:fldCharType="end"/>
      </w:r>
    </w:p>
    <w:sectPr w:rsidR="003D0C6A" w:rsidRPr="003D0C6A" w:rsidSect="00A56F2D">
      <w:footerReference w:type="default" r:id="rId8"/>
      <w:pgSz w:w="8392" w:h="11907" w:code="11"/>
      <w:pgMar w:top="635"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DCE73" w14:textId="77777777" w:rsidR="00E018F1" w:rsidRDefault="00E018F1">
      <w:r>
        <w:separator/>
      </w:r>
    </w:p>
  </w:endnote>
  <w:endnote w:type="continuationSeparator" w:id="0">
    <w:p w14:paraId="53A7B169" w14:textId="77777777" w:rsidR="00E018F1" w:rsidRDefault="00E0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0F" w14:textId="77777777" w:rsidR="00E30B97" w:rsidRDefault="00E30B97" w:rsidP="00E30B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1D422" w14:textId="77777777" w:rsidR="00E018F1" w:rsidRDefault="00E018F1">
      <w:r>
        <w:separator/>
      </w:r>
    </w:p>
  </w:footnote>
  <w:footnote w:type="continuationSeparator" w:id="0">
    <w:p w14:paraId="3B55C8B6" w14:textId="77777777" w:rsidR="00E018F1" w:rsidRDefault="00E01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B5"/>
    <w:rsid w:val="00021493"/>
    <w:rsid w:val="000E25D5"/>
    <w:rsid w:val="001037A4"/>
    <w:rsid w:val="001153F3"/>
    <w:rsid w:val="00122407"/>
    <w:rsid w:val="001E1D1D"/>
    <w:rsid w:val="002503AB"/>
    <w:rsid w:val="00274F14"/>
    <w:rsid w:val="002778F6"/>
    <w:rsid w:val="002805EF"/>
    <w:rsid w:val="0028071C"/>
    <w:rsid w:val="002911FC"/>
    <w:rsid w:val="002D1CB1"/>
    <w:rsid w:val="002D21EC"/>
    <w:rsid w:val="0032413D"/>
    <w:rsid w:val="00335E16"/>
    <w:rsid w:val="00375A97"/>
    <w:rsid w:val="003D0C6A"/>
    <w:rsid w:val="003D14E2"/>
    <w:rsid w:val="0041231E"/>
    <w:rsid w:val="00495997"/>
    <w:rsid w:val="005455E2"/>
    <w:rsid w:val="00554098"/>
    <w:rsid w:val="00554FC8"/>
    <w:rsid w:val="005633FA"/>
    <w:rsid w:val="00567D78"/>
    <w:rsid w:val="005707D1"/>
    <w:rsid w:val="00582060"/>
    <w:rsid w:val="0062646B"/>
    <w:rsid w:val="00643FB5"/>
    <w:rsid w:val="00677312"/>
    <w:rsid w:val="006A09CB"/>
    <w:rsid w:val="006F5B27"/>
    <w:rsid w:val="007136E1"/>
    <w:rsid w:val="007171BE"/>
    <w:rsid w:val="007A4950"/>
    <w:rsid w:val="007C7E5F"/>
    <w:rsid w:val="007D253F"/>
    <w:rsid w:val="007D3121"/>
    <w:rsid w:val="00824A0C"/>
    <w:rsid w:val="00836AB6"/>
    <w:rsid w:val="00842B0C"/>
    <w:rsid w:val="00876BF9"/>
    <w:rsid w:val="008F783C"/>
    <w:rsid w:val="00901341"/>
    <w:rsid w:val="009349BA"/>
    <w:rsid w:val="00936D7C"/>
    <w:rsid w:val="00955D9D"/>
    <w:rsid w:val="00983A60"/>
    <w:rsid w:val="00A3333F"/>
    <w:rsid w:val="00A53A51"/>
    <w:rsid w:val="00A56F2D"/>
    <w:rsid w:val="00A94A58"/>
    <w:rsid w:val="00AD12D7"/>
    <w:rsid w:val="00B251DF"/>
    <w:rsid w:val="00B53F98"/>
    <w:rsid w:val="00B70401"/>
    <w:rsid w:val="00B844D3"/>
    <w:rsid w:val="00B962E0"/>
    <w:rsid w:val="00BD0421"/>
    <w:rsid w:val="00BD080D"/>
    <w:rsid w:val="00BD7E82"/>
    <w:rsid w:val="00BE3747"/>
    <w:rsid w:val="00BF4CC5"/>
    <w:rsid w:val="00C659F1"/>
    <w:rsid w:val="00CC18B5"/>
    <w:rsid w:val="00D40C19"/>
    <w:rsid w:val="00D95DF8"/>
    <w:rsid w:val="00DA6982"/>
    <w:rsid w:val="00DC74CB"/>
    <w:rsid w:val="00DE6A10"/>
    <w:rsid w:val="00DF4D34"/>
    <w:rsid w:val="00DF5661"/>
    <w:rsid w:val="00E018F1"/>
    <w:rsid w:val="00E30B97"/>
    <w:rsid w:val="00EB32D1"/>
    <w:rsid w:val="00F2045D"/>
    <w:rsid w:val="00F231B3"/>
    <w:rsid w:val="00F4227F"/>
    <w:rsid w:val="00F4676D"/>
    <w:rsid w:val="00F620BE"/>
    <w:rsid w:val="00FC7CAE"/>
    <w:rsid w:val="00FD2348"/>
    <w:rsid w:val="00FF3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997E62"/>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ne number" w:semiHidden="1" w:unhideWhenUsed="1"/>
    <w:lsdException w:name="page number"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BodyText2">
    <w:name w:val="Body Text 2"/>
    <w:basedOn w:val="Normal"/>
    <w:link w:val="BodyText2Char"/>
    <w:uiPriority w:val="99"/>
    <w:pPr>
      <w:ind w:firstLine="540"/>
    </w:pPr>
    <w:rPr>
      <w:sz w:val="28"/>
      <w:szCs w:val="28"/>
    </w:rPr>
  </w:style>
  <w:style w:type="paragraph" w:styleId="Footer">
    <w:name w:val="footer"/>
    <w:basedOn w:val="Normal"/>
    <w:link w:val="FooterChar"/>
    <w:uiPriority w:val="99"/>
    <w:rsid w:val="00E30B97"/>
    <w:pPr>
      <w:tabs>
        <w:tab w:val="center" w:pos="4677"/>
        <w:tab w:val="right" w:pos="9355"/>
      </w:tabs>
    </w:pPr>
  </w:style>
  <w:style w:type="character" w:customStyle="1" w:styleId="BodyText2Char">
    <w:name w:val="Body Text 2 Char"/>
    <w:basedOn w:val="DefaultParagraphFont"/>
    <w:link w:val="BodyText2"/>
    <w:uiPriority w:val="99"/>
    <w:semiHidden/>
    <w:locked/>
    <w:rPr>
      <w:rFonts w:cs="Times New Roman"/>
      <w:sz w:val="24"/>
      <w:szCs w:val="24"/>
    </w:rPr>
  </w:style>
  <w:style w:type="character" w:styleId="PageNumber">
    <w:name w:val="page number"/>
    <w:basedOn w:val="DefaultParagraphFont"/>
    <w:uiPriority w:val="99"/>
    <w:rsid w:val="00E30B97"/>
    <w:rPr>
      <w:rFonts w:cs="Times New Roman"/>
    </w:rPr>
  </w:style>
  <w:style w:type="character" w:customStyle="1" w:styleId="FooterChar">
    <w:name w:val="Footer Char"/>
    <w:basedOn w:val="DefaultParagraphFont"/>
    <w:link w:val="Footer"/>
    <w:uiPriority w:val="99"/>
    <w:semiHidden/>
    <w:locked/>
    <w:rPr>
      <w:rFonts w:cs="Times New Roman"/>
      <w:sz w:val="24"/>
      <w:szCs w:val="24"/>
    </w:rPr>
  </w:style>
  <w:style w:type="paragraph" w:styleId="Header">
    <w:name w:val="header"/>
    <w:basedOn w:val="Normal"/>
    <w:link w:val="HeaderChar"/>
    <w:uiPriority w:val="99"/>
    <w:rsid w:val="00E30B97"/>
    <w:pPr>
      <w:tabs>
        <w:tab w:val="center" w:pos="4677"/>
        <w:tab w:val="right" w:pos="9355"/>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ibliography">
    <w:name w:val="Bibliography"/>
    <w:basedOn w:val="Normal"/>
    <w:next w:val="Normal"/>
    <w:uiPriority w:val="37"/>
    <w:unhideWhenUsed/>
    <w:rsid w:val="003D0C6A"/>
    <w:pPr>
      <w:tabs>
        <w:tab w:val="left" w:pos="384"/>
      </w:tabs>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267998">
      <w:bodyDiv w:val="1"/>
      <w:marLeft w:val="0"/>
      <w:marRight w:val="0"/>
      <w:marTop w:val="0"/>
      <w:marBottom w:val="0"/>
      <w:divBdr>
        <w:top w:val="none" w:sz="0" w:space="0" w:color="auto"/>
        <w:left w:val="none" w:sz="0" w:space="0" w:color="auto"/>
        <w:bottom w:val="none" w:sz="0" w:space="0" w:color="auto"/>
        <w:right w:val="none" w:sz="0" w:space="0" w:color="auto"/>
      </w:divBdr>
    </w:div>
    <w:div w:id="1361009373">
      <w:bodyDiv w:val="1"/>
      <w:marLeft w:val="0"/>
      <w:marRight w:val="0"/>
      <w:marTop w:val="0"/>
      <w:marBottom w:val="0"/>
      <w:divBdr>
        <w:top w:val="none" w:sz="0" w:space="0" w:color="auto"/>
        <w:left w:val="none" w:sz="0" w:space="0" w:color="auto"/>
        <w:bottom w:val="none" w:sz="0" w:space="0" w:color="auto"/>
        <w:right w:val="none" w:sz="0" w:space="0" w:color="auto"/>
      </w:divBdr>
    </w:div>
    <w:div w:id="15467930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0F813D1-B204-4BB5-A18F-F6A6F3D11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1326</Words>
  <Characters>7958</Characters>
  <Application>Microsoft Office Word</Application>
  <DocSecurity>0</DocSecurity>
  <Lines>241</Lines>
  <Paragraphs>116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НАЗВАНИЕ ПЕЧАТАЕТСЯ ЗАГЛАВНЫМИ БУКВАМИ БЕЗ ПЕРЕНОСА И БЕЗ ТОЧКИ В КОНЦЕ</vt:lpstr>
      <vt:lpstr>НАЗВАНИЕ ПЕЧАТАЕТСЯ ЗАГЛАВНЫМИ БУКВАМИ БЕЗ ПЕРЕНОСА И БЕЗ ТОЧКИ В КОНЦЕ</vt:lpstr>
    </vt:vector>
  </TitlesOfParts>
  <Company>Sinp</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ПЕЧАТАЕТСЯ ЗАГЛАВНЫМИ БУКВАМИ БЕЗ ПЕРЕНОСА И БЕЗ ТОЧКИ В КОНЦЕ</dc:title>
  <dc:subject/>
  <dc:creator>Yavlinski</dc:creator>
  <cp:keywords/>
  <dc:description/>
  <cp:lastModifiedBy>Umedjon Khalilov</cp:lastModifiedBy>
  <cp:revision>14</cp:revision>
  <cp:lastPrinted>2017-12-26T13:36:00Z</cp:lastPrinted>
  <dcterms:created xsi:type="dcterms:W3CDTF">2024-02-20T06:47:00Z</dcterms:created>
  <dcterms:modified xsi:type="dcterms:W3CDTF">2025-02-20T13:12:00Z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id="JPTLRtGl"/&gt;&lt;style id="http://www.zotero.org/styles/american-physics-society" hasBibliography="1" bibliographyStyleHasBeenSet="1"/&gt;&lt;prefs&gt;&lt;pref name="fieldType" value="Field"/&gt;&lt;/prefs&gt;&lt;/data&gt;</vt:lpwstr>
  </property>
  <property fmtid="{D5CDD505-2E9C-101B-9397-08002B2CF9AE}" pid="3" name="GrammarlyDocumentId">
    <vt:lpwstr>c9ef362d1ef4abab298b279e6e5ef224c754218dfce3ca367a26612e455acbcc</vt:lpwstr>
  </property>
</Properties>
</file>