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CD59">
      <w:pPr>
        <w:jc w:val="center"/>
        <w:rPr>
          <w:rFonts w:eastAsia="Aptos"/>
          <w:sz w:val="22"/>
          <w:szCs w:val="22"/>
        </w:rPr>
      </w:pPr>
      <w:r>
        <w:rPr>
          <w:rFonts w:eastAsia="Aptos"/>
          <w:sz w:val="22"/>
          <w:szCs w:val="22"/>
        </w:rPr>
        <w:t>КРИСТАЛЛИЧЕСКАЯ СТРУКТУРА КОБАЛЬТИТА ФЕРРИТА РАЗЛИЧНЫМ СТЕХИОМЕТРИЧЕСКИМ СОСТАВОМ</w:t>
      </w:r>
    </w:p>
    <w:p w14:paraId="3A6B9517">
      <w:pPr>
        <w:jc w:val="center"/>
        <w:rPr>
          <w:rFonts w:eastAsia="Aptos"/>
          <w:sz w:val="22"/>
          <w:szCs w:val="22"/>
        </w:rPr>
      </w:pPr>
    </w:p>
    <w:p w14:paraId="4C437151">
      <w:pPr>
        <w:pStyle w:val="12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iCs/>
          <w:sz w:val="22"/>
          <w:szCs w:val="22"/>
          <w:lang w:val="uz-Cyrl-UZ"/>
        </w:rPr>
        <w:t>А.Ф.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  <w:lang w:val="en-US"/>
        </w:rPr>
        <w:t>T</w:t>
      </w:r>
      <w:r>
        <w:rPr>
          <w:iCs/>
          <w:sz w:val="22"/>
          <w:szCs w:val="22"/>
        </w:rPr>
        <w:t>у</w:t>
      </w:r>
      <w:r>
        <w:rPr>
          <w:iCs/>
          <w:sz w:val="22"/>
          <w:szCs w:val="22"/>
          <w:lang w:val="uz-Cyrl-UZ"/>
        </w:rPr>
        <w:t>раев</w:t>
      </w:r>
      <w:r>
        <w:rPr>
          <w:iCs/>
          <w:sz w:val="22"/>
          <w:szCs w:val="22"/>
          <w:vertAlign w:val="superscript"/>
          <w:lang w:val="uz-Cyrl-UZ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У.Б. Шаропов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 </w:t>
      </w:r>
      <w:r>
        <w:rPr>
          <w:iCs/>
          <w:sz w:val="22"/>
          <w:szCs w:val="22"/>
        </w:rPr>
        <w:t>М.С.Пайзуллаханов</w:t>
      </w:r>
      <w:r>
        <w:rPr>
          <w:iCs/>
          <w:sz w:val="22"/>
          <w:szCs w:val="22"/>
          <w:vertAlign w:val="superscript"/>
        </w:rPr>
        <w:t>3)</w:t>
      </w:r>
    </w:p>
    <w:p w14:paraId="525F01B9">
      <w:pPr>
        <w:pStyle w:val="12"/>
        <w:spacing w:before="0" w:beforeAutospacing="0" w:after="0" w:afterAutospacing="0"/>
        <w:rPr>
          <w:sz w:val="22"/>
          <w:szCs w:val="22"/>
        </w:rPr>
      </w:pPr>
    </w:p>
    <w:p w14:paraId="21D1F31F">
      <w:pPr>
        <w:pStyle w:val="12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Бухарский государственный университет, Бухар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, Узбекистан</w:t>
      </w:r>
    </w:p>
    <w:p w14:paraId="0E68A8BB">
      <w:pPr>
        <w:pStyle w:val="12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</w:t>
      </w:r>
      <w:r>
        <w:rPr>
          <w:vertAlign w:val="superscript"/>
        </w:rPr>
        <w:t>2</w:t>
      </w:r>
      <w:r>
        <w:rPr>
          <w:sz w:val="22"/>
          <w:szCs w:val="22"/>
        </w:rPr>
        <w:t>Физика технический институт, АНРУз, Ташкент, Узбекистан</w:t>
      </w:r>
    </w:p>
    <w:p w14:paraId="601DD7D0">
      <w:pPr>
        <w:pStyle w:val="12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Институт материаловедения, АНРУз, Ташкент, Узбекистан</w:t>
      </w:r>
    </w:p>
    <w:p w14:paraId="6B909A9F">
      <w:pPr>
        <w:pStyle w:val="12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fldChar w:fldCharType="begin"/>
      </w:r>
      <w:r>
        <w:instrText xml:space="preserve"> HYPERLINK "mailto:akbarjontorayev079@gmail.com" </w:instrText>
      </w:r>
      <w:r>
        <w:fldChar w:fldCharType="separate"/>
      </w:r>
      <w:r>
        <w:rPr>
          <w:rStyle w:val="5"/>
          <w:sz w:val="22"/>
          <w:szCs w:val="22"/>
        </w:rPr>
        <w:t>akbarjontorayev079@gmail.com</w:t>
      </w:r>
      <w:r>
        <w:rPr>
          <w:rStyle w:val="5"/>
          <w:sz w:val="22"/>
          <w:szCs w:val="22"/>
        </w:rPr>
        <w:fldChar w:fldCharType="end"/>
      </w:r>
    </w:p>
    <w:p w14:paraId="2588B748">
      <w:pPr>
        <w:pStyle w:val="12"/>
        <w:spacing w:before="0" w:beforeAutospacing="0" w:after="0" w:afterAutospacing="0"/>
        <w:jc w:val="center"/>
        <w:rPr>
          <w:sz w:val="22"/>
          <w:szCs w:val="22"/>
        </w:rPr>
      </w:pPr>
    </w:p>
    <w:p w14:paraId="08EBFFD4">
      <w:pPr>
        <w:ind w:firstLine="424" w:firstLineChars="193"/>
        <w:jc w:val="both"/>
        <w:rPr>
          <w:rFonts w:eastAsia="Aptos"/>
          <w:sz w:val="22"/>
          <w:szCs w:val="22"/>
        </w:rPr>
      </w:pPr>
      <w:r>
        <w:rPr>
          <w:rFonts w:eastAsia="Aptos"/>
          <w:sz w:val="22"/>
          <w:szCs w:val="22"/>
        </w:rPr>
        <w:t>Нами проведено исследование образцов сплавов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с различным стехиометрическим составом: Co₃FeO</w:t>
      </w:r>
      <w:r>
        <w:rPr>
          <w:rFonts w:eastAsia="Aptos"/>
          <w:sz w:val="22"/>
          <w:szCs w:val="22"/>
          <w:vertAlign w:val="subscript"/>
        </w:rPr>
        <w:t>1.2</w:t>
      </w:r>
      <w:r>
        <w:rPr>
          <w:rFonts w:eastAsia="Aptos"/>
          <w:sz w:val="22"/>
          <w:szCs w:val="22"/>
        </w:rPr>
        <w:t>, CoFeO</w:t>
      </w:r>
      <w:r>
        <w:rPr>
          <w:rFonts w:eastAsia="Aptos"/>
          <w:sz w:val="22"/>
          <w:szCs w:val="22"/>
          <w:vertAlign w:val="subscript"/>
        </w:rPr>
        <w:t>2.5</w:t>
      </w:r>
      <w:r>
        <w:rPr>
          <w:rFonts w:eastAsia="Aptos"/>
          <w:sz w:val="22"/>
          <w:szCs w:val="22"/>
        </w:rPr>
        <w:t>,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и CoFe</w:t>
      </w:r>
      <w:r>
        <w:rPr>
          <w:rFonts w:eastAsia="Aptos"/>
          <w:sz w:val="22"/>
          <w:szCs w:val="22"/>
          <w:vertAlign w:val="subscript"/>
        </w:rPr>
        <w:t>2.8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>, полученных с использованием солнечной печи. Исследование кристаллической структуры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было выполнено с использованием программ FullProf и VESTA, опираясь на данные рентгенофазового анализа (РФА) по уточнениям результаты анализа методом Ритвельда. </w:t>
      </w:r>
    </w:p>
    <w:p w14:paraId="60C2241B">
      <w:pPr>
        <w:jc w:val="both"/>
        <w:rPr>
          <w:rFonts w:hint="default" w:eastAsia="Aptos"/>
          <w:sz w:val="22"/>
          <w:szCs w:val="22"/>
          <w:lang w:val="en-US"/>
        </w:rPr>
      </w:pPr>
      <w:bookmarkStart w:id="0" w:name="_GoBack"/>
      <w:bookmarkEnd w:id="0"/>
      <w:r>
        <w:rPr>
          <w:rFonts w:hint="default" w:eastAsia="Aptos"/>
          <w:sz w:val="22"/>
          <w:szCs w:val="22"/>
          <w:lang w:val="en-US"/>
        </w:rPr>
        <w:t xml:space="preserve">          </w:t>
      </w:r>
      <w:r>
        <w:rPr>
          <w:rFonts w:hint="default" w:eastAsia="Aptos"/>
          <w:sz w:val="22"/>
          <w:szCs w:val="22"/>
          <w:lang w:val="en-US"/>
        </w:rPr>
        <w:drawing>
          <wp:inline distT="0" distB="0" distL="114300" distR="114300">
            <wp:extent cx="3242310" cy="1570355"/>
            <wp:effectExtent l="0" t="0" r="15240" b="10795"/>
            <wp:docPr id="1" name="Изображение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01393">
      <w:pPr>
        <w:pStyle w:val="19"/>
        <w:spacing w:line="240" w:lineRule="auto"/>
        <w:ind w:firstLine="347" w:firstLineChars="193"/>
        <w:rPr>
          <w:sz w:val="18"/>
          <w:szCs w:val="18"/>
        </w:rPr>
      </w:pPr>
      <w:r>
        <w:rPr>
          <w:sz w:val="18"/>
          <w:szCs w:val="18"/>
        </w:rPr>
        <w:t>Рисунок. Элементарная ячейка кубической структуры фазы CoFe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  <w:r>
        <w:rPr>
          <w:sz w:val="18"/>
          <w:szCs w:val="18"/>
          <w:vertAlign w:val="subscript"/>
        </w:rPr>
        <w:t>4</w:t>
      </w:r>
      <w:r>
        <w:rPr>
          <w:sz w:val="18"/>
          <w:szCs w:val="18"/>
        </w:rPr>
        <w:t>: а - вид сверху, б - трехмерная ячейка.</w:t>
      </w:r>
    </w:p>
    <w:p w14:paraId="2623C149">
      <w:pPr>
        <w:pStyle w:val="10"/>
      </w:pPr>
    </w:p>
    <w:p w14:paraId="587239D2">
      <w:pPr>
        <w:ind w:firstLine="424" w:firstLineChars="193"/>
        <w:jc w:val="both"/>
        <w:rPr>
          <w:sz w:val="22"/>
          <w:szCs w:val="22"/>
        </w:rPr>
      </w:pPr>
      <w:r>
        <w:rPr>
          <w:rFonts w:eastAsia="Aptos"/>
          <w:sz w:val="22"/>
          <w:szCs w:val="22"/>
        </w:rPr>
        <w:t>Элементарная ячейка структуры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показана в двух проекциях. Рисунок (a) отображает вид сверху, где видны взаимосвязанные октаэдры FeO</w:t>
      </w:r>
      <w:r>
        <w:rPr>
          <w:rFonts w:eastAsia="Aptos"/>
          <w:sz w:val="22"/>
          <w:szCs w:val="22"/>
          <w:vertAlign w:val="subscript"/>
        </w:rPr>
        <w:t>6</w:t>
      </w:r>
      <w:r>
        <w:rPr>
          <w:rFonts w:eastAsia="Aptos"/>
          <w:sz w:val="22"/>
          <w:szCs w:val="22"/>
        </w:rPr>
        <w:t xml:space="preserve"> и тетраэдры CoO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>, формирующие упорядоченную трёхмерную сетку. Рисунок (б) иллюстрирует трёхмерное представление ячейки, подчёркивающее пространственную координацию ионов Co²⁺, Fe</w:t>
      </w:r>
      <w:r>
        <w:rPr>
          <w:rFonts w:eastAsia="Aptos"/>
          <w:sz w:val="22"/>
          <w:szCs w:val="22"/>
          <w:vertAlign w:val="superscript"/>
        </w:rPr>
        <w:t>3+</w:t>
      </w:r>
      <w:r>
        <w:rPr>
          <w:rFonts w:eastAsia="Aptos"/>
          <w:sz w:val="22"/>
          <w:szCs w:val="22"/>
        </w:rPr>
        <w:t xml:space="preserve"> и O</w:t>
      </w:r>
      <w:r>
        <w:rPr>
          <w:rFonts w:eastAsia="Aptos"/>
          <w:sz w:val="22"/>
          <w:szCs w:val="22"/>
          <w:vertAlign w:val="superscript"/>
        </w:rPr>
        <w:t>2-</w:t>
      </w:r>
      <w:r>
        <w:rPr>
          <w:rFonts w:eastAsia="Aptos"/>
          <w:sz w:val="22"/>
          <w:szCs w:val="22"/>
        </w:rPr>
        <w:t xml:space="preserve">, симметрию и плотность упаковки в кристаллической структуре. Определено что, такая конфигурация создаёт трёхмерную решётку из взаимосвязанных октаэдров и тетраэдров, что способствует устойчивости кристаллической структуры. </w:t>
      </w:r>
    </w:p>
    <w:sectPr>
      <w:footerReference r:id="rId3" w:type="default"/>
      <w:pgSz w:w="8392" w:h="11907"/>
      <w:pgMar w:top="635" w:right="851" w:bottom="709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ptos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EFF7"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93"/>
    <w:rsid w:val="00233AD4"/>
    <w:rsid w:val="005C6168"/>
    <w:rsid w:val="006B167F"/>
    <w:rsid w:val="006B275C"/>
    <w:rsid w:val="00720D4D"/>
    <w:rsid w:val="00810093"/>
    <w:rsid w:val="008C0C4B"/>
    <w:rsid w:val="008E5F3A"/>
    <w:rsid w:val="0092146A"/>
    <w:rsid w:val="00AD424E"/>
    <w:rsid w:val="00C23C8D"/>
    <w:rsid w:val="00E323B0"/>
    <w:rsid w:val="096678DA"/>
    <w:rsid w:val="0DE222A7"/>
    <w:rsid w:val="0FF37C05"/>
    <w:rsid w:val="16D2480B"/>
    <w:rsid w:val="476C5E39"/>
    <w:rsid w:val="4F377268"/>
    <w:rsid w:val="6B7626AE"/>
    <w:rsid w:val="71706E29"/>
    <w:rsid w:val="75FA0BBA"/>
    <w:rsid w:val="78A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qFormat/>
    <w:uiPriority w:val="99"/>
    <w:rPr>
      <w:color w:val="0000FF"/>
      <w:u w:val="single"/>
    </w:rPr>
  </w:style>
  <w:style w:type="character" w:styleId="6">
    <w:name w:val="page number"/>
    <w:basedOn w:val="2"/>
    <w:qFormat/>
    <w:uiPriority w:val="99"/>
    <w:rPr>
      <w:rFonts w:cs="Times New Roman"/>
    </w:rPr>
  </w:style>
  <w:style w:type="paragraph" w:styleId="7">
    <w:name w:val="Body Text 2"/>
    <w:basedOn w:val="1"/>
    <w:link w:val="13"/>
    <w:qFormat/>
    <w:uiPriority w:val="99"/>
    <w:pPr>
      <w:ind w:firstLine="540"/>
    </w:pPr>
    <w:rPr>
      <w:sz w:val="28"/>
      <w:szCs w:val="28"/>
    </w:rPr>
  </w:style>
  <w:style w:type="paragraph" w:styleId="8">
    <w:name w:val="footnote text"/>
    <w:basedOn w:val="1"/>
    <w:link w:val="18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semiHidden/>
    <w:unhideWhenUsed/>
    <w:qFormat/>
    <w:uiPriority w:val="99"/>
  </w:style>
  <w:style w:type="paragraph" w:styleId="11">
    <w:name w:val="footer"/>
    <w:basedOn w:val="1"/>
    <w:link w:val="14"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</w:style>
  <w:style w:type="character" w:customStyle="1" w:styleId="13">
    <w:name w:val="Основной текст 2 Знак"/>
    <w:basedOn w:val="2"/>
    <w:link w:val="7"/>
    <w:qFormat/>
    <w:uiPriority w:val="99"/>
    <w:rPr>
      <w:rFonts w:cs="Times New Roman"/>
      <w:sz w:val="24"/>
      <w:szCs w:val="24"/>
    </w:rPr>
  </w:style>
  <w:style w:type="character" w:customStyle="1" w:styleId="14">
    <w:name w:val="Нижний колонтитул Знак"/>
    <w:basedOn w:val="2"/>
    <w:link w:val="11"/>
    <w:qFormat/>
    <w:uiPriority w:val="99"/>
    <w:rPr>
      <w:rFonts w:cs="Times New Roman"/>
      <w:sz w:val="24"/>
      <w:szCs w:val="24"/>
    </w:rPr>
  </w:style>
  <w:style w:type="character" w:customStyle="1" w:styleId="15">
    <w:name w:val="Верхний колонтитул Знак"/>
    <w:basedOn w:val="2"/>
    <w:link w:val="9"/>
    <w:qFormat/>
    <w:uiPriority w:val="99"/>
    <w:rPr>
      <w:rFonts w:cs="Times New Roman"/>
      <w:sz w:val="24"/>
      <w:szCs w:val="24"/>
    </w:rPr>
  </w:style>
  <w:style w:type="character" w:customStyle="1" w:styleId="16">
    <w:name w:val="Неразрешенное упоминание1"/>
    <w:basedOn w:val="2"/>
    <w:qFormat/>
    <w:uiPriority w:val="99"/>
    <w:rPr>
      <w:color w:val="605E5C"/>
      <w:shd w:val="clear" w:color="auto" w:fill="E1DFDD"/>
    </w:rPr>
  </w:style>
  <w:style w:type="character" w:customStyle="1" w:styleId="17">
    <w:name w:val="Неразрешенное упоминание2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Текст сноски Знак"/>
    <w:basedOn w:val="2"/>
    <w:link w:val="8"/>
    <w:semiHidden/>
    <w:qFormat/>
    <w:uiPriority w:val="99"/>
    <w:rPr>
      <w:sz w:val="20"/>
      <w:szCs w:val="20"/>
    </w:rPr>
  </w:style>
  <w:style w:type="paragraph" w:customStyle="1" w:styleId="19">
    <w:name w:val="Диплом"/>
    <w:basedOn w:val="10"/>
    <w:next w:val="10"/>
    <w:qFormat/>
    <w:uiPriority w:val="0"/>
    <w:pPr>
      <w:shd w:val="clear" w:color="auto" w:fill="FFFFFF"/>
      <w:suppressAutoHyphens/>
      <w:spacing w:line="360" w:lineRule="auto"/>
      <w:jc w:val="center"/>
    </w:pPr>
    <w:rPr>
      <w:rFonts w:eastAsia="Apto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Sinp</Company>
  <Pages>1</Pages>
  <Words>215</Words>
  <Characters>1232</Characters>
  <Lines>10</Lines>
  <Paragraphs>2</Paragraphs>
  <TotalTime>10</TotalTime>
  <ScaleCrop>false</ScaleCrop>
  <LinksUpToDate>false</LinksUpToDate>
  <CharactersWithSpaces>1445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2025-01-25T12:25:00Z</dcterms:created>
  <dc:creator>Yavlinski</dc:creator>
  <cp:lastModifiedBy>User</cp:lastModifiedBy>
  <cp:lastPrinted>2017-12-26T13:36:00Z</cp:lastPrinted>
  <dcterms:modified xsi:type="dcterms:W3CDTF">2025-01-25T14:21:30Z</dcterms:modified>
  <dc:title>НАЗВАНИЕ ПЕЧАТАЕТСЯ ЗАГЛАВНЫМИ БУКВАМИ БЕЗ ПЕРЕНОСА И БЕЗ ТОЧКИ В КОНЦЕ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7b8643718d7e48bd82f0b161f83e2aff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87fecc76-4469-3c70-87c3-44a58eead308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12th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http://www.zotero.org/styles/taylor-and-francis-acs</vt:lpwstr>
  </property>
  <property fmtid="{D5CDD505-2E9C-101B-9397-08002B2CF9AE}" pid="25" name="Mendeley Recent Style Name 9_1">
    <vt:lpwstr>Taylor &amp; Francis - American Chemical Society</vt:lpwstr>
  </property>
  <property fmtid="{D5CDD505-2E9C-101B-9397-08002B2CF9AE}" pid="26" name="KSOProductBuildVer">
    <vt:lpwstr>1049-12.2.0.19805</vt:lpwstr>
  </property>
</Properties>
</file>