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F85" w14:textId="03DAD2CF" w:rsidR="00FF36FD" w:rsidRDefault="00B176F5" w:rsidP="00B176F5">
      <w:pPr>
        <w:jc w:val="center"/>
        <w:rPr>
          <w:sz w:val="22"/>
          <w:szCs w:val="22"/>
        </w:rPr>
      </w:pPr>
      <w:r w:rsidRPr="00B176F5">
        <w:rPr>
          <w:sz w:val="22"/>
          <w:szCs w:val="22"/>
        </w:rPr>
        <w:t>РАЗВИТИЕ ПРЕДСТАВЛЕНИЙ О ТОРМОЖЕНИИ И РАССЕЯНИИ АТОМОВ КЭВ ЭНЕРГИЙ В ВЕЩЕСТВЕ</w:t>
      </w:r>
    </w:p>
    <w:p w14:paraId="38EF5B7F" w14:textId="77777777" w:rsidR="00B176F5" w:rsidRPr="00FF36FD" w:rsidRDefault="00B176F5" w:rsidP="00B176F5">
      <w:pPr>
        <w:jc w:val="center"/>
        <w:rPr>
          <w:sz w:val="22"/>
          <w:szCs w:val="22"/>
        </w:rPr>
      </w:pPr>
    </w:p>
    <w:p w14:paraId="533894FF" w14:textId="5D924435" w:rsidR="002911FC" w:rsidRPr="00B844D3" w:rsidRDefault="002D41C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Бабенко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П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Шергин</w:t>
      </w:r>
    </w:p>
    <w:p w14:paraId="3CB8DA05" w14:textId="53B2EE83" w:rsidR="002911FC" w:rsidRDefault="002D41C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05E9ED53" w:rsidR="0028071C" w:rsidRPr="0026620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266200">
        <w:rPr>
          <w:sz w:val="22"/>
          <w:szCs w:val="22"/>
          <w:vertAlign w:val="superscript"/>
          <w:lang w:val="en-US"/>
        </w:rPr>
        <w:t>*)</w:t>
      </w:r>
      <w:r w:rsidRPr="0026620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26620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266200">
        <w:rPr>
          <w:sz w:val="22"/>
          <w:szCs w:val="22"/>
          <w:lang w:val="en-US"/>
        </w:rPr>
        <w:t xml:space="preserve">: </w:t>
      </w:r>
      <w:r w:rsidR="00B032FB">
        <w:rPr>
          <w:sz w:val="22"/>
          <w:szCs w:val="22"/>
          <w:lang w:val="en-US"/>
        </w:rPr>
        <w:t>babenko</w:t>
      </w:r>
      <w:r w:rsidRPr="00266200">
        <w:rPr>
          <w:sz w:val="22"/>
          <w:szCs w:val="22"/>
          <w:lang w:val="en-US"/>
        </w:rPr>
        <w:t>@</w:t>
      </w:r>
      <w:r w:rsidR="00B032FB">
        <w:rPr>
          <w:sz w:val="22"/>
          <w:szCs w:val="22"/>
          <w:lang w:val="en-US"/>
        </w:rPr>
        <w:t>npd.ioffe</w:t>
      </w:r>
      <w:r w:rsidRPr="00266200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266200" w:rsidRDefault="00F231B3" w:rsidP="0028071C">
      <w:pPr>
        <w:jc w:val="both"/>
        <w:rPr>
          <w:sz w:val="22"/>
          <w:szCs w:val="22"/>
          <w:lang w:val="en-US"/>
        </w:rPr>
      </w:pPr>
    </w:p>
    <w:p w14:paraId="159AAA95" w14:textId="2A655975" w:rsidR="0017738D" w:rsidRPr="0017738D" w:rsidRDefault="00BE3F2D" w:rsidP="0017738D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М</w:t>
      </w:r>
      <w:r w:rsidR="0017738D" w:rsidRPr="0017738D">
        <w:rPr>
          <w:noProof/>
          <w:sz w:val="22"/>
          <w:szCs w:val="22"/>
        </w:rPr>
        <w:t>етод</w:t>
      </w:r>
      <w:r>
        <w:rPr>
          <w:noProof/>
          <w:sz w:val="22"/>
          <w:szCs w:val="22"/>
        </w:rPr>
        <w:t>ы</w:t>
      </w:r>
      <w:r w:rsidR="0017738D" w:rsidRPr="0017738D">
        <w:rPr>
          <w:noProof/>
          <w:sz w:val="22"/>
          <w:szCs w:val="22"/>
        </w:rPr>
        <w:t xml:space="preserve"> компьютерного моделирования в сочетании с анализом эксперимента позвол</w:t>
      </w:r>
      <w:r w:rsidR="0017738D">
        <w:rPr>
          <w:noProof/>
          <w:sz w:val="22"/>
          <w:szCs w:val="22"/>
        </w:rPr>
        <w:t>ил</w:t>
      </w:r>
      <w:r>
        <w:rPr>
          <w:noProof/>
          <w:sz w:val="22"/>
          <w:szCs w:val="22"/>
        </w:rPr>
        <w:t>и</w:t>
      </w:r>
      <w:r w:rsidR="0017738D" w:rsidRPr="0017738D">
        <w:rPr>
          <w:noProof/>
          <w:sz w:val="22"/>
          <w:szCs w:val="22"/>
        </w:rPr>
        <w:t xml:space="preserve"> существенно уточнить представления о взаимодействии пучков атомных частиц с веществом, а также предложить задачи новых экспериментов. </w:t>
      </w:r>
    </w:p>
    <w:p w14:paraId="698EDC8F" w14:textId="6E0732FF" w:rsidR="0017738D" w:rsidRPr="0017738D" w:rsidRDefault="0087178C" w:rsidP="0017738D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П</w:t>
      </w:r>
      <w:r w:rsidR="0017738D" w:rsidRPr="0017738D">
        <w:rPr>
          <w:noProof/>
          <w:sz w:val="22"/>
          <w:szCs w:val="22"/>
        </w:rPr>
        <w:t>ри выборе потенциала взаимодействия рекомендуется использовать расчет потенциала для конкретных систем с применением приближения функционала плотности и учетом спектроскопических данных о параметрах потенциальной ямы.</w:t>
      </w:r>
    </w:p>
    <w:p w14:paraId="28B05043" w14:textId="77777777" w:rsidR="0017738D" w:rsidRPr="0017738D" w:rsidRDefault="0017738D" w:rsidP="0017738D">
      <w:pPr>
        <w:ind w:firstLine="425"/>
        <w:jc w:val="both"/>
        <w:rPr>
          <w:noProof/>
          <w:sz w:val="22"/>
          <w:szCs w:val="22"/>
        </w:rPr>
      </w:pPr>
      <w:r w:rsidRPr="0017738D">
        <w:rPr>
          <w:noProof/>
          <w:sz w:val="22"/>
          <w:szCs w:val="22"/>
        </w:rPr>
        <w:t>Установлено, что в потенциал взаимодействия при столкновениях частиц с металлами необходимо ввести поправку, учитывающую взаимодействие с электронами проводимости.</w:t>
      </w:r>
    </w:p>
    <w:p w14:paraId="0F03ECEA" w14:textId="77777777" w:rsidR="0017738D" w:rsidRPr="0017738D" w:rsidRDefault="0017738D" w:rsidP="0017738D">
      <w:pPr>
        <w:ind w:firstLine="425"/>
        <w:jc w:val="both"/>
        <w:rPr>
          <w:noProof/>
          <w:sz w:val="22"/>
          <w:szCs w:val="22"/>
        </w:rPr>
      </w:pPr>
      <w:r w:rsidRPr="0017738D">
        <w:rPr>
          <w:noProof/>
          <w:sz w:val="22"/>
          <w:szCs w:val="22"/>
        </w:rPr>
        <w:t>Следует учитывать дополнительный максимум в сечениях ЯТС при малых энергиях, связанный с рассеянием частиц на потенциальной яме.</w:t>
      </w:r>
    </w:p>
    <w:p w14:paraId="24A486EE" w14:textId="77777777" w:rsidR="0017738D" w:rsidRPr="0017738D" w:rsidRDefault="0017738D" w:rsidP="0017738D">
      <w:pPr>
        <w:ind w:firstLine="425"/>
        <w:jc w:val="both"/>
        <w:rPr>
          <w:noProof/>
          <w:sz w:val="22"/>
          <w:szCs w:val="22"/>
        </w:rPr>
      </w:pPr>
      <w:r w:rsidRPr="0017738D">
        <w:rPr>
          <w:noProof/>
          <w:sz w:val="22"/>
          <w:szCs w:val="22"/>
        </w:rPr>
        <w:t>При выборе модели ЭТС для компьютерного моделирования при энергиях соударения менее 10 кэВ следует использовать в качестве параметра потерю энергии на единицу длины траектории, а также использовать экспериментальные данные, полученные из анализа спектра обратно рассеянных частиц.</w:t>
      </w:r>
    </w:p>
    <w:p w14:paraId="56D91B98" w14:textId="77777777" w:rsidR="0017738D" w:rsidRPr="0017738D" w:rsidRDefault="0017738D" w:rsidP="0017738D">
      <w:pPr>
        <w:ind w:firstLine="425"/>
        <w:jc w:val="both"/>
        <w:rPr>
          <w:noProof/>
          <w:sz w:val="22"/>
          <w:szCs w:val="22"/>
        </w:rPr>
      </w:pPr>
      <w:r w:rsidRPr="0017738D">
        <w:rPr>
          <w:noProof/>
          <w:sz w:val="22"/>
          <w:szCs w:val="22"/>
        </w:rPr>
        <w:t xml:space="preserve">При рассмотрении ЭТС необходимо также учитывать образование автоионизационных состояний при соударениях частиц, которое вносит доминирующий вклад в ионизацию частиц и в механизм формирования неупругих потерь энергии при медленных столкновениях. </w:t>
      </w:r>
    </w:p>
    <w:p w14:paraId="62048CD4" w14:textId="77777777" w:rsidR="0017738D" w:rsidRPr="0017738D" w:rsidRDefault="0017738D" w:rsidP="0017738D">
      <w:pPr>
        <w:ind w:firstLine="425"/>
        <w:jc w:val="both"/>
        <w:rPr>
          <w:noProof/>
          <w:sz w:val="22"/>
          <w:szCs w:val="22"/>
        </w:rPr>
      </w:pPr>
      <w:r w:rsidRPr="0017738D">
        <w:rPr>
          <w:noProof/>
          <w:sz w:val="22"/>
          <w:szCs w:val="22"/>
        </w:rPr>
        <w:t>Показано значительно влияние поверхностного потенциального барьера, шероховатости поверхности, структуры мишени на эффекты распыления и отражения частиц от поверхности, а также важен корректный учет ЭТС.</w:t>
      </w:r>
    </w:p>
    <w:p w14:paraId="22FD9907" w14:textId="36FD04EB" w:rsidR="00375A97" w:rsidRDefault="0017738D" w:rsidP="0017738D">
      <w:pPr>
        <w:ind w:firstLine="425"/>
        <w:jc w:val="both"/>
        <w:rPr>
          <w:sz w:val="22"/>
          <w:szCs w:val="22"/>
        </w:rPr>
      </w:pPr>
      <w:r w:rsidRPr="0017738D">
        <w:rPr>
          <w:noProof/>
          <w:sz w:val="22"/>
          <w:szCs w:val="22"/>
        </w:rPr>
        <w:t xml:space="preserve">При анализе каналирования атомов </w:t>
      </w:r>
      <w:r w:rsidR="00BA262A">
        <w:rPr>
          <w:noProof/>
          <w:sz w:val="22"/>
          <w:szCs w:val="22"/>
          <w:lang w:val="en-US"/>
        </w:rPr>
        <w:t>D</w:t>
      </w:r>
      <w:r w:rsidRPr="0017738D">
        <w:rPr>
          <w:noProof/>
          <w:sz w:val="22"/>
          <w:szCs w:val="22"/>
        </w:rPr>
        <w:t xml:space="preserve"> в кристаллическом вольфраме W(100) имеет место фокусировка пучка и предлагается эксперимент, позволяющий проверить модель непрерывного потенциала и особенности торможения частиц при движении вдоль оси канала.</w:t>
      </w:r>
    </w:p>
    <w:sectPr w:rsidR="00375A97" w:rsidSect="008A7120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5E8E" w14:textId="77777777" w:rsidR="008A7120" w:rsidRDefault="008A7120">
      <w:r>
        <w:separator/>
      </w:r>
    </w:p>
  </w:endnote>
  <w:endnote w:type="continuationSeparator" w:id="0">
    <w:p w14:paraId="5203CBFD" w14:textId="77777777" w:rsidR="008A7120" w:rsidRDefault="008A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F1B2" w14:textId="77777777" w:rsidR="008A7120" w:rsidRDefault="008A7120">
      <w:r>
        <w:separator/>
      </w:r>
    </w:p>
  </w:footnote>
  <w:footnote w:type="continuationSeparator" w:id="0">
    <w:p w14:paraId="3D28BA8B" w14:textId="77777777" w:rsidR="008A7120" w:rsidRDefault="008A7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36965"/>
    <w:rsid w:val="0017738D"/>
    <w:rsid w:val="001E1D1D"/>
    <w:rsid w:val="002503AB"/>
    <w:rsid w:val="00266200"/>
    <w:rsid w:val="0027060D"/>
    <w:rsid w:val="00274F14"/>
    <w:rsid w:val="0028071C"/>
    <w:rsid w:val="002911FC"/>
    <w:rsid w:val="002D1CB1"/>
    <w:rsid w:val="002D21EC"/>
    <w:rsid w:val="002D41C4"/>
    <w:rsid w:val="003131D8"/>
    <w:rsid w:val="0032413D"/>
    <w:rsid w:val="00335E16"/>
    <w:rsid w:val="00375A97"/>
    <w:rsid w:val="003D14E2"/>
    <w:rsid w:val="0047151D"/>
    <w:rsid w:val="00495997"/>
    <w:rsid w:val="00554FC8"/>
    <w:rsid w:val="00567D78"/>
    <w:rsid w:val="005707D1"/>
    <w:rsid w:val="00582060"/>
    <w:rsid w:val="00613019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00917"/>
    <w:rsid w:val="00836AB6"/>
    <w:rsid w:val="00842B0C"/>
    <w:rsid w:val="0087178C"/>
    <w:rsid w:val="00876BF9"/>
    <w:rsid w:val="008A7120"/>
    <w:rsid w:val="008F783C"/>
    <w:rsid w:val="00901341"/>
    <w:rsid w:val="00936D7C"/>
    <w:rsid w:val="00955D9D"/>
    <w:rsid w:val="00983A60"/>
    <w:rsid w:val="00A3333F"/>
    <w:rsid w:val="00A53A51"/>
    <w:rsid w:val="00A56F2D"/>
    <w:rsid w:val="00A859B8"/>
    <w:rsid w:val="00A94A58"/>
    <w:rsid w:val="00AD12D7"/>
    <w:rsid w:val="00B032FB"/>
    <w:rsid w:val="00B176F5"/>
    <w:rsid w:val="00B251DF"/>
    <w:rsid w:val="00B53F98"/>
    <w:rsid w:val="00B70401"/>
    <w:rsid w:val="00B844D3"/>
    <w:rsid w:val="00B962E0"/>
    <w:rsid w:val="00BA262A"/>
    <w:rsid w:val="00BD0421"/>
    <w:rsid w:val="00BE3747"/>
    <w:rsid w:val="00BE3F2D"/>
    <w:rsid w:val="00D95DF8"/>
    <w:rsid w:val="00DF5661"/>
    <w:rsid w:val="00E30B97"/>
    <w:rsid w:val="00E84C17"/>
    <w:rsid w:val="00E95054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2024-02-02T18:49:00Z</dcterms:created>
  <dcterms:modified xsi:type="dcterms:W3CDTF">2024-02-06T06:54:00Z</dcterms:modified>
</cp:coreProperties>
</file>