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3" w:rsidRDefault="00C60C23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ЭЛЕКТРОННОЙ СТРУКТУРЫ СИСТЕМЫ ПАЛЛАДИЙ-СЕРЕБРО-ВОДОРОД</w:t>
      </w:r>
    </w:p>
    <w:p w:rsidR="00BB71B3" w:rsidRDefault="00BB71B3">
      <w:pPr>
        <w:jc w:val="center"/>
        <w:rPr>
          <w:sz w:val="22"/>
          <w:szCs w:val="22"/>
        </w:rPr>
      </w:pPr>
    </w:p>
    <w:p w:rsidR="00BB71B3" w:rsidRDefault="00C60C23">
      <w:pPr>
        <w:jc w:val="center"/>
      </w:pPr>
      <w:r>
        <w:rPr>
          <w:sz w:val="22"/>
          <w:szCs w:val="22"/>
          <w:lang w:eastAsia="en-US"/>
        </w:rPr>
        <w:t>Л.Ю. Немирович-Данченко</w:t>
      </w:r>
      <w:r>
        <w:rPr>
          <w:sz w:val="22"/>
          <w:szCs w:val="22"/>
          <w:vertAlign w:val="superscript"/>
          <w:lang w:eastAsia="en-US"/>
        </w:rPr>
        <w:t>1,2</w:t>
      </w:r>
      <w:bookmarkStart w:id="0" w:name="_GoBack"/>
      <w:bookmarkEnd w:id="0"/>
      <w:r>
        <w:rPr>
          <w:sz w:val="22"/>
          <w:szCs w:val="22"/>
          <w:vertAlign w:val="superscript"/>
          <w:lang w:eastAsia="en-US"/>
        </w:rPr>
        <w:t>)</w:t>
      </w:r>
      <w:r>
        <w:rPr>
          <w:sz w:val="22"/>
          <w:szCs w:val="22"/>
          <w:lang w:eastAsia="en-US"/>
        </w:rPr>
        <w:t>, Л.А. Святкин</w:t>
      </w:r>
      <w:r>
        <w:rPr>
          <w:sz w:val="22"/>
          <w:szCs w:val="22"/>
          <w:vertAlign w:val="superscript"/>
          <w:lang w:eastAsia="en-US"/>
        </w:rPr>
        <w:t>1)</w:t>
      </w:r>
      <w:r>
        <w:rPr>
          <w:sz w:val="22"/>
          <w:szCs w:val="22"/>
          <w:lang w:eastAsia="en-US"/>
        </w:rPr>
        <w:t>, И.П.Чернов</w:t>
      </w:r>
      <w:r>
        <w:rPr>
          <w:sz w:val="22"/>
          <w:szCs w:val="22"/>
          <w:vertAlign w:val="superscript"/>
          <w:lang w:eastAsia="en-US"/>
        </w:rPr>
        <w:t>1)</w:t>
      </w:r>
    </w:p>
    <w:p w:rsidR="00BB71B3" w:rsidRDefault="00C60C23">
      <w:pPr>
        <w:pStyle w:val="af6"/>
        <w:spacing w:before="0" w:beforeAutospacing="0" w:after="0" w:afterAutospacing="0"/>
        <w:ind w:firstLine="425"/>
        <w:jc w:val="center"/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  <w:lang w:eastAsia="en-US"/>
        </w:rPr>
        <w:t>НИ ТПУ, г. Томск, Россия</w:t>
      </w:r>
    </w:p>
    <w:p w:rsidR="00BB71B3" w:rsidRDefault="00C60C23">
      <w:pPr>
        <w:pStyle w:val="af6"/>
        <w:spacing w:before="0" w:beforeAutospacing="0" w:after="0" w:afterAutospacing="0"/>
        <w:ind w:firstLine="425"/>
        <w:jc w:val="center"/>
      </w:pPr>
      <w:r>
        <w:rPr>
          <w:sz w:val="22"/>
          <w:szCs w:val="22"/>
          <w:vertAlign w:val="superscript"/>
        </w:rPr>
        <w:t>2)</w:t>
      </w:r>
      <w:r>
        <w:t xml:space="preserve"> </w:t>
      </w:r>
      <w:r>
        <w:rPr>
          <w:sz w:val="22"/>
          <w:szCs w:val="22"/>
          <w:lang w:eastAsia="en-US"/>
        </w:rPr>
        <w:t>ТУСУР, г. Томск, Россия</w:t>
      </w:r>
      <w:r>
        <w:rPr>
          <w:sz w:val="22"/>
          <w:szCs w:val="22"/>
          <w:vertAlign w:val="superscript"/>
        </w:rPr>
        <w:t xml:space="preserve"> </w:t>
      </w:r>
    </w:p>
    <w:p w:rsidR="00BB71B3" w:rsidRDefault="00C60C23">
      <w:pPr>
        <w:pStyle w:val="af6"/>
        <w:spacing w:before="0" w:beforeAutospacing="0" w:after="0" w:afterAutospacing="0"/>
        <w:ind w:firstLine="425"/>
        <w:jc w:val="center"/>
        <w:rPr>
          <w:vertAlign w:val="superscript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ndlyu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tpu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B71B3" w:rsidRDefault="00BB71B3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BB71B3" w:rsidRDefault="00C60C23">
      <w:pPr>
        <w:ind w:firstLine="425"/>
        <w:jc w:val="both"/>
      </w:pPr>
      <w:r>
        <w:rPr>
          <w:sz w:val="22"/>
          <w:szCs w:val="22"/>
        </w:rPr>
        <w:t xml:space="preserve">Металлические мембраны из сплавов </w:t>
      </w:r>
      <w:proofErr w:type="spellStart"/>
      <w:r>
        <w:rPr>
          <w:sz w:val="22"/>
          <w:szCs w:val="22"/>
        </w:rPr>
        <w:t>Pd</w:t>
      </w:r>
      <w:proofErr w:type="spellEnd"/>
      <w:r>
        <w:rPr>
          <w:sz w:val="22"/>
          <w:szCs w:val="22"/>
        </w:rPr>
        <w:t xml:space="preserve"> широко используются для получения сверхчистого водорода. В чистом палладии при насыщении водородом происходит структурно-фазовый переход, способствующий водородному </w:t>
      </w:r>
      <w:proofErr w:type="spellStart"/>
      <w:r>
        <w:rPr>
          <w:sz w:val="22"/>
          <w:szCs w:val="22"/>
        </w:rPr>
        <w:t>охрупчиванию</w:t>
      </w:r>
      <w:proofErr w:type="spellEnd"/>
      <w:r>
        <w:rPr>
          <w:sz w:val="22"/>
          <w:szCs w:val="22"/>
        </w:rPr>
        <w:t xml:space="preserve"> мембран. Особый научный и практический интерес представляют сплавы палладия с</w:t>
      </w:r>
      <w:r>
        <w:rPr>
          <w:sz w:val="22"/>
          <w:szCs w:val="22"/>
        </w:rPr>
        <w:t xml:space="preserve"> серебром, в которых при их насыщении водородом фазовые переходы и, соответственно, </w:t>
      </w:r>
      <w:proofErr w:type="spellStart"/>
      <w:r>
        <w:rPr>
          <w:sz w:val="22"/>
          <w:szCs w:val="22"/>
        </w:rPr>
        <w:t>охрупчивание</w:t>
      </w:r>
      <w:proofErr w:type="spellEnd"/>
      <w:r>
        <w:rPr>
          <w:sz w:val="22"/>
          <w:szCs w:val="22"/>
        </w:rPr>
        <w:t xml:space="preserve"> не наблюдаются. В настоящей работе было изучено из первых принципов плотность электронных состояний и распределение электронной плотности, в частности, перенос</w:t>
      </w:r>
      <w:r>
        <w:rPr>
          <w:sz w:val="22"/>
          <w:szCs w:val="22"/>
        </w:rPr>
        <w:t xml:space="preserve"> заряда между атомами палладия, серебра и водорода в соединениях Pd</w:t>
      </w:r>
      <w:r>
        <w:rPr>
          <w:sz w:val="22"/>
          <w:szCs w:val="22"/>
          <w:vertAlign w:val="subscript"/>
        </w:rPr>
        <w:t>1-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Ag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H</w:t>
      </w:r>
      <w:r>
        <w:rPr>
          <w:i/>
          <w:iCs/>
          <w:sz w:val="22"/>
          <w:szCs w:val="22"/>
          <w:vertAlign w:val="subscript"/>
          <w:lang w:val="en-US"/>
        </w:rPr>
        <w:t>y</w:t>
      </w:r>
      <w:r>
        <w:rPr>
          <w:sz w:val="22"/>
          <w:szCs w:val="22"/>
        </w:rPr>
        <w:t xml:space="preserve">, где </w:t>
      </w:r>
      <w:r>
        <w:rPr>
          <w:i/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и </w:t>
      </w:r>
      <w:r>
        <w:rPr>
          <w:i/>
          <w:iCs/>
          <w:sz w:val="22"/>
          <w:szCs w:val="22"/>
          <w:lang w:val="en-US"/>
        </w:rPr>
        <w:t>y</w:t>
      </w:r>
      <w:r w:rsidRPr="00FE5E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принимают значения 0, 0,25, 0,50, 0,75 и 1,0. С этой целью были рассчитаны распределение электронной плотности, объёмы по методу </w:t>
      </w:r>
      <w:proofErr w:type="spellStart"/>
      <w:r>
        <w:rPr>
          <w:sz w:val="22"/>
          <w:szCs w:val="22"/>
        </w:rPr>
        <w:t>Бадера</w:t>
      </w:r>
      <w:proofErr w:type="spellEnd"/>
      <w:r>
        <w:rPr>
          <w:sz w:val="22"/>
          <w:szCs w:val="22"/>
        </w:rPr>
        <w:t xml:space="preserve">, занимаемые атомами Н, </w:t>
      </w:r>
      <w:proofErr w:type="spellStart"/>
      <w:r>
        <w:rPr>
          <w:sz w:val="22"/>
          <w:szCs w:val="22"/>
        </w:rPr>
        <w:t>Pd</w:t>
      </w:r>
      <w:proofErr w:type="spellEnd"/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Ag</w:t>
      </w:r>
      <w:r>
        <w:rPr>
          <w:sz w:val="22"/>
          <w:szCs w:val="22"/>
        </w:rPr>
        <w:t xml:space="preserve"> в </w:t>
      </w:r>
      <w:r>
        <w:rPr>
          <w:sz w:val="22"/>
          <w:szCs w:val="22"/>
        </w:rPr>
        <w:t>соединениях Pd</w:t>
      </w:r>
      <w:r>
        <w:rPr>
          <w:sz w:val="22"/>
          <w:szCs w:val="22"/>
          <w:vertAlign w:val="subscript"/>
        </w:rPr>
        <w:t>1-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Ag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H</w:t>
      </w:r>
      <w:r>
        <w:rPr>
          <w:i/>
          <w:iCs/>
          <w:sz w:val="22"/>
          <w:szCs w:val="22"/>
          <w:vertAlign w:val="subscript"/>
          <w:lang w:val="en-US"/>
        </w:rPr>
        <w:t>y</w:t>
      </w:r>
      <w:r>
        <w:rPr>
          <w:sz w:val="22"/>
          <w:szCs w:val="22"/>
        </w:rPr>
        <w:t xml:space="preserve">, и электронные заряды в этих объёмах. Все расчеты выполнялись в рамках теории функционала электронной плотности методом </w:t>
      </w:r>
      <w:proofErr w:type="spellStart"/>
      <w:r>
        <w:rPr>
          <w:sz w:val="22"/>
          <w:szCs w:val="22"/>
        </w:rPr>
        <w:t>псевдопотенциала</w:t>
      </w:r>
      <w:proofErr w:type="spellEnd"/>
      <w:r>
        <w:rPr>
          <w:sz w:val="22"/>
          <w:szCs w:val="22"/>
        </w:rPr>
        <w:t xml:space="preserve">, реализованным в пакете программ ABINIT. </w:t>
      </w:r>
    </w:p>
    <w:p w:rsidR="00BB71B3" w:rsidRDefault="00C60C2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Показано, что в рассмотренных соединениях Pd</w:t>
      </w:r>
      <w:r>
        <w:rPr>
          <w:sz w:val="22"/>
          <w:szCs w:val="22"/>
          <w:vertAlign w:val="subscript"/>
        </w:rPr>
        <w:t>1-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Ag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  <w:lang w:val="en-US"/>
        </w:rPr>
        <w:t>y</w:t>
      </w:r>
      <w:r w:rsidRPr="00FE5E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увеличение концентрации серебра </w:t>
      </w:r>
      <w:r>
        <w:rPr>
          <w:i/>
          <w:iCs/>
          <w:sz w:val="22"/>
          <w:szCs w:val="22"/>
          <w:lang w:val="en-US"/>
        </w:rPr>
        <w:t>x</w:t>
      </w:r>
      <w:r w:rsidRPr="00FE5E9B">
        <w:rPr>
          <w:sz w:val="22"/>
          <w:szCs w:val="22"/>
        </w:rPr>
        <w:t xml:space="preserve"> </w:t>
      </w:r>
      <w:r>
        <w:rPr>
          <w:sz w:val="22"/>
          <w:szCs w:val="22"/>
        </w:rPr>
        <w:t>приводит к большему переносу электронного заряда от атомов серебра преимущественно к атомам водорода. Установлено, что с ростом концентрации серебра увеличиваются области с пониженной электронной плотностью между атомами (</w:t>
      </w:r>
      <w:r>
        <w:rPr>
          <w:sz w:val="22"/>
          <w:szCs w:val="22"/>
        </w:rPr>
        <w:t>плотность электронов в этих областях меньше 0,02 электрон</w:t>
      </w:r>
      <w:r w:rsidRPr="00FE5E9B">
        <w:rPr>
          <w:sz w:val="22"/>
          <w:szCs w:val="22"/>
        </w:rPr>
        <w:t>/</w:t>
      </w:r>
      <w:r>
        <w:rPr>
          <w:sz w:val="22"/>
          <w:szCs w:val="22"/>
        </w:rPr>
        <w:t>Бор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), что указывает на ослабление металлической составляющей связей </w:t>
      </w:r>
      <w:r w:rsidR="00FE5E9B">
        <w:rPr>
          <w:sz w:val="22"/>
          <w:szCs w:val="22"/>
        </w:rPr>
        <w:t>палладий</w:t>
      </w:r>
      <w:r>
        <w:rPr>
          <w:sz w:val="22"/>
          <w:szCs w:val="22"/>
        </w:rPr>
        <w:t>-серебро и металл-водород</w:t>
      </w:r>
      <w:r w:rsidRPr="00FE5E9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Выявлено, что в рассмотренных соединениях </w:t>
      </w:r>
      <w:r>
        <w:rPr>
          <w:sz w:val="22"/>
          <w:szCs w:val="22"/>
        </w:rPr>
        <w:t>Pd</w:t>
      </w:r>
      <w:r>
        <w:rPr>
          <w:sz w:val="22"/>
          <w:szCs w:val="22"/>
          <w:vertAlign w:val="subscript"/>
        </w:rPr>
        <w:t>1-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Ag</w:t>
      </w:r>
      <w:r>
        <w:rPr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>H</w:t>
      </w:r>
      <w:r>
        <w:rPr>
          <w:sz w:val="22"/>
          <w:szCs w:val="22"/>
          <w:vertAlign w:val="subscript"/>
          <w:lang w:val="en-US"/>
        </w:rPr>
        <w:t>y</w:t>
      </w:r>
      <w:r>
        <w:rPr>
          <w:sz w:val="22"/>
          <w:szCs w:val="22"/>
        </w:rPr>
        <w:t xml:space="preserve"> в </w:t>
      </w:r>
      <w:r>
        <w:rPr>
          <w:i/>
          <w:iCs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зоне серебра в области энергий от 5,5 </w:t>
      </w:r>
      <w:r>
        <w:rPr>
          <w:sz w:val="22"/>
          <w:szCs w:val="22"/>
        </w:rPr>
        <w:t xml:space="preserve">до 3 эВ ниже уровня Ферми присутствует повышенная плотность </w:t>
      </w:r>
      <w:r>
        <w:rPr>
          <w:sz w:val="22"/>
          <w:szCs w:val="22"/>
        </w:rPr>
        <w:t>электронных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s</w:t>
      </w:r>
      <w:r w:rsidRPr="00FE5E9B">
        <w:rPr>
          <w:sz w:val="22"/>
          <w:szCs w:val="22"/>
        </w:rPr>
        <w:t xml:space="preserve"> </w:t>
      </w:r>
      <w:r>
        <w:rPr>
          <w:sz w:val="22"/>
          <w:szCs w:val="22"/>
        </w:rPr>
        <w:t>состояний водорода, что, по-видимому, и приводит к неустойчивости системы палладий-серебро-водород при высоких концентрациях водорода и серебра.</w:t>
      </w:r>
    </w:p>
    <w:sectPr w:rsidR="00BB71B3">
      <w:footerReference w:type="default" r:id="rId7"/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B3" w:rsidRDefault="00C60C23">
      <w:r>
        <w:separator/>
      </w:r>
    </w:p>
  </w:endnote>
  <w:endnote w:type="continuationSeparator" w:id="0">
    <w:p w:rsidR="00BB71B3" w:rsidRDefault="00C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B3" w:rsidRDefault="00BB71B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B3" w:rsidRDefault="00C60C23">
      <w:r>
        <w:separator/>
      </w:r>
    </w:p>
  </w:footnote>
  <w:footnote w:type="continuationSeparator" w:id="0">
    <w:p w:rsidR="00BB71B3" w:rsidRDefault="00C6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B3"/>
    <w:rsid w:val="00BB71B3"/>
    <w:rsid w:val="00C60C23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7F99-4C14-4AF4-9331-A1BB12F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pPr>
      <w:spacing w:before="100" w:beforeAutospacing="1" w:after="100" w:afterAutospacing="1"/>
    </w:pPr>
  </w:style>
  <w:style w:type="paragraph" w:styleId="25">
    <w:name w:val="Body Text 2"/>
    <w:basedOn w:val="a"/>
    <w:link w:val="26"/>
    <w:uiPriority w:val="99"/>
    <w:pPr>
      <w:ind w:firstLine="540"/>
    </w:pPr>
    <w:rPr>
      <w:sz w:val="28"/>
      <w:szCs w:val="2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4"/>
      <w:szCs w:val="24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cs="Times New Roman"/>
      <w:sz w:val="24"/>
      <w:szCs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272BE4-A0DC-431A-AE5C-E10DC3F4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>Sinp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Немирович-Данченко Любовь Юрьевна</cp:lastModifiedBy>
  <cp:revision>6</cp:revision>
  <dcterms:created xsi:type="dcterms:W3CDTF">2022-12-31T16:56:00Z</dcterms:created>
  <dcterms:modified xsi:type="dcterms:W3CDTF">2023-02-11T09:31:00Z</dcterms:modified>
</cp:coreProperties>
</file>