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4EF2D" w14:textId="037A4007" w:rsidR="00F4676D" w:rsidRPr="00093A2B" w:rsidRDefault="00093A2B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О применимости диффузионно-</w:t>
      </w:r>
      <w:proofErr w:type="spellStart"/>
      <w:r>
        <w:rPr>
          <w:sz w:val="22"/>
          <w:szCs w:val="22"/>
        </w:rPr>
        <w:t>коагуляционной</w:t>
      </w:r>
      <w:proofErr w:type="spellEnd"/>
      <w:r>
        <w:rPr>
          <w:sz w:val="22"/>
          <w:szCs w:val="22"/>
        </w:rPr>
        <w:t xml:space="preserve"> модели при оценке дозы аморфизации </w:t>
      </w:r>
      <w:r>
        <w:rPr>
          <w:sz w:val="22"/>
          <w:szCs w:val="22"/>
          <w:lang w:val="en-US"/>
        </w:rPr>
        <w:t>Si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7E479E4A" w14:textId="77777777" w:rsidR="00BA36D6" w:rsidRDefault="00BA36D6" w:rsidP="00BA36D6">
      <w:pPr>
        <w:pStyle w:val="a3"/>
        <w:spacing w:beforeAutospacing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Е.В. Окулич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Д.И.Тетельбаум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В.И. Окулич</w:t>
      </w:r>
      <w:r>
        <w:rPr>
          <w:sz w:val="22"/>
          <w:szCs w:val="22"/>
          <w:vertAlign w:val="superscript"/>
        </w:rPr>
        <w:t>2)</w:t>
      </w:r>
    </w:p>
    <w:p w14:paraId="1C908315" w14:textId="77777777" w:rsidR="00BA36D6" w:rsidRPr="009E0FB3" w:rsidRDefault="00BA36D6" w:rsidP="00BA36D6">
      <w:pPr>
        <w:pStyle w:val="a3"/>
        <w:spacing w:beforeAutospacing="0" w:afterAutospacing="0"/>
        <w:ind w:firstLine="425"/>
        <w:jc w:val="center"/>
        <w:rPr>
          <w:sz w:val="22"/>
          <w:szCs w:val="22"/>
        </w:rPr>
      </w:pPr>
      <w:r w:rsidRPr="00CC6921">
        <w:rPr>
          <w:sz w:val="22"/>
          <w:szCs w:val="22"/>
          <w:vertAlign w:val="superscript"/>
        </w:rPr>
        <w:t>1)</w:t>
      </w:r>
      <w:r w:rsidRPr="00CC6921">
        <w:rPr>
          <w:sz w:val="22"/>
          <w:szCs w:val="22"/>
        </w:rPr>
        <w:t xml:space="preserve"> ННГУ им. Н. И. Лобачевского, Нижний Новгород</w:t>
      </w:r>
      <w:r>
        <w:rPr>
          <w:sz w:val="22"/>
          <w:szCs w:val="22"/>
        </w:rPr>
        <w:t>, Россия</w:t>
      </w:r>
    </w:p>
    <w:p w14:paraId="6F017C64" w14:textId="77777777" w:rsidR="00BA36D6" w:rsidRPr="00CC6921" w:rsidRDefault="00BA36D6" w:rsidP="00BA36D6">
      <w:pPr>
        <w:pStyle w:val="a3"/>
        <w:spacing w:beforeAutospacing="0" w:afterAutospacing="0"/>
        <w:ind w:firstLine="425"/>
        <w:jc w:val="center"/>
        <w:rPr>
          <w:sz w:val="22"/>
          <w:szCs w:val="22"/>
        </w:rPr>
      </w:pPr>
      <w:r w:rsidRPr="00CC6921">
        <w:rPr>
          <w:sz w:val="22"/>
          <w:szCs w:val="22"/>
          <w:vertAlign w:val="superscript"/>
        </w:rPr>
        <w:t>2)</w:t>
      </w:r>
      <w:r w:rsidRPr="00CC6921">
        <w:rPr>
          <w:sz w:val="22"/>
          <w:szCs w:val="22"/>
        </w:rPr>
        <w:t xml:space="preserve"> НИУ филиал </w:t>
      </w:r>
      <w:proofErr w:type="spellStart"/>
      <w:r w:rsidRPr="00CC6921">
        <w:rPr>
          <w:sz w:val="22"/>
          <w:szCs w:val="22"/>
        </w:rPr>
        <w:t>РАНХиГС</w:t>
      </w:r>
      <w:proofErr w:type="spellEnd"/>
      <w:r>
        <w:rPr>
          <w:sz w:val="22"/>
          <w:szCs w:val="22"/>
        </w:rPr>
        <w:t xml:space="preserve">, Нижний </w:t>
      </w:r>
      <w:r w:rsidRPr="00CC6921">
        <w:rPr>
          <w:sz w:val="22"/>
          <w:szCs w:val="22"/>
        </w:rPr>
        <w:t>Новгород</w:t>
      </w:r>
      <w:r>
        <w:rPr>
          <w:sz w:val="22"/>
          <w:szCs w:val="22"/>
        </w:rPr>
        <w:t>, Россия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0C09D468" w14:textId="53268433" w:rsidR="00093A2B" w:rsidRDefault="00093A2B" w:rsidP="00375A97">
      <w:pPr>
        <w:ind w:firstLine="425"/>
        <w:jc w:val="both"/>
        <w:rPr>
          <w:sz w:val="22"/>
          <w:szCs w:val="22"/>
        </w:rPr>
      </w:pPr>
      <w:r w:rsidRPr="00093A2B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настоящее время существует несколько моделей аморфизации </w:t>
      </w:r>
      <w:r>
        <w:rPr>
          <w:sz w:val="22"/>
          <w:szCs w:val="22"/>
          <w:lang w:val="en-US"/>
        </w:rPr>
        <w:t>Si</w:t>
      </w:r>
      <w:r w:rsidRPr="00093A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 облучении легкими ионами, учитывающих вторичные процессы эволюции радиационных дефектов </w:t>
      </w:r>
      <w:r w:rsidRPr="00093A2B">
        <w:rPr>
          <w:sz w:val="22"/>
          <w:szCs w:val="22"/>
        </w:rPr>
        <w:t>[</w:t>
      </w:r>
      <w:r w:rsidR="00FB3B9E">
        <w:rPr>
          <w:sz w:val="22"/>
          <w:szCs w:val="22"/>
        </w:rPr>
        <w:t>1, 2</w:t>
      </w:r>
      <w:r w:rsidRPr="00093A2B">
        <w:rPr>
          <w:sz w:val="22"/>
          <w:szCs w:val="22"/>
        </w:rPr>
        <w:t>]</w:t>
      </w:r>
      <w:r>
        <w:rPr>
          <w:sz w:val="22"/>
          <w:szCs w:val="22"/>
        </w:rPr>
        <w:t xml:space="preserve">. </w:t>
      </w:r>
    </w:p>
    <w:p w14:paraId="49D8BC72" w14:textId="35D8D5CE" w:rsidR="00093A2B" w:rsidRDefault="00093A2B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работе </w:t>
      </w:r>
      <w:r w:rsidRPr="00093A2B">
        <w:rPr>
          <w:sz w:val="22"/>
          <w:szCs w:val="22"/>
        </w:rPr>
        <w:t>[</w:t>
      </w:r>
      <w:r w:rsidR="00FB3B9E" w:rsidRPr="00FB3B9E">
        <w:rPr>
          <w:sz w:val="22"/>
          <w:szCs w:val="22"/>
        </w:rPr>
        <w:t>3</w:t>
      </w:r>
      <w:r w:rsidRPr="00093A2B">
        <w:rPr>
          <w:sz w:val="22"/>
          <w:szCs w:val="22"/>
        </w:rPr>
        <w:t>]</w:t>
      </w:r>
      <w:r>
        <w:rPr>
          <w:sz w:val="22"/>
          <w:szCs w:val="22"/>
        </w:rPr>
        <w:t xml:space="preserve"> было показано, что на распределение вакансий и дивакансий заметно влияют все факторы процесса облучения: масса и энергия ионов, плотность ионного тока и температура мишени.</w:t>
      </w:r>
    </w:p>
    <w:p w14:paraId="5ACC4EEC" w14:textId="640F4449" w:rsidR="00093A2B" w:rsidRDefault="00093A2B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Расчеты дозы аморфизации позволили определить те режимы облучения, при которых максимальная концентрация примеси не превышала 10% от собственной концентрации кремния и для которых допустимо использование </w:t>
      </w:r>
      <w:r w:rsidR="00FB3B9E">
        <w:rPr>
          <w:sz w:val="22"/>
          <w:szCs w:val="22"/>
        </w:rPr>
        <w:t>диффузионно-</w:t>
      </w:r>
      <w:proofErr w:type="spellStart"/>
      <w:r w:rsidR="00FB3B9E">
        <w:rPr>
          <w:sz w:val="22"/>
          <w:szCs w:val="22"/>
        </w:rPr>
        <w:t>коагуляционной</w:t>
      </w:r>
      <w:proofErr w:type="spellEnd"/>
      <w:r>
        <w:rPr>
          <w:sz w:val="22"/>
          <w:szCs w:val="22"/>
        </w:rPr>
        <w:t xml:space="preserve"> модели для </w:t>
      </w:r>
      <w:r w:rsidR="007D08B0">
        <w:rPr>
          <w:sz w:val="22"/>
          <w:szCs w:val="22"/>
        </w:rPr>
        <w:t>оценки данной величины</w:t>
      </w:r>
      <w:bookmarkStart w:id="0" w:name="_GoBack"/>
      <w:bookmarkEnd w:id="0"/>
      <w:r w:rsidR="00FB3B9E">
        <w:rPr>
          <w:sz w:val="22"/>
          <w:szCs w:val="22"/>
        </w:rPr>
        <w:t>.</w:t>
      </w:r>
    </w:p>
    <w:p w14:paraId="1B640268" w14:textId="63DBEC2F" w:rsidR="00FB3B9E" w:rsidRDefault="00FB3B9E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Также исследовано влияние граничных условий на поверхности на результаты расчетов.</w:t>
      </w:r>
    </w:p>
    <w:p w14:paraId="58CDA265" w14:textId="355FA048" w:rsidR="00FB3B9E" w:rsidRPr="00093A2B" w:rsidRDefault="00FB3B9E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Полученные результаты позволяют сделать вывод об относительности понятия «сплошной» аморфизации.</w:t>
      </w:r>
    </w:p>
    <w:p w14:paraId="37751D9B" w14:textId="562EFA01" w:rsidR="00375A97" w:rsidRPr="00375A97" w:rsidRDefault="00375A97" w:rsidP="00375A97">
      <w:pPr>
        <w:ind w:firstLine="425"/>
        <w:jc w:val="both"/>
        <w:rPr>
          <w:sz w:val="22"/>
          <w:szCs w:val="22"/>
        </w:rPr>
      </w:pP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7D08B0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Pr="007D08B0" w:rsidRDefault="00DF5661" w:rsidP="00375A97">
      <w:pPr>
        <w:ind w:firstLine="425"/>
        <w:jc w:val="both"/>
        <w:rPr>
          <w:sz w:val="22"/>
          <w:szCs w:val="22"/>
          <w:lang w:val="en-US"/>
        </w:rPr>
      </w:pPr>
    </w:p>
    <w:p w14:paraId="05859F78" w14:textId="642C5994" w:rsidR="00FB3B9E" w:rsidRDefault="00375A97" w:rsidP="00375A97">
      <w:pPr>
        <w:ind w:firstLine="425"/>
        <w:jc w:val="both"/>
        <w:rPr>
          <w:sz w:val="22"/>
          <w:szCs w:val="22"/>
          <w:lang w:val="en-US"/>
        </w:rPr>
      </w:pPr>
      <w:r w:rsidRPr="00FB3B9E">
        <w:rPr>
          <w:sz w:val="22"/>
          <w:szCs w:val="22"/>
          <w:lang w:val="en-US"/>
        </w:rPr>
        <w:t>1</w:t>
      </w:r>
      <w:r w:rsidR="00DF5661" w:rsidRPr="00FB3B9E">
        <w:rPr>
          <w:sz w:val="22"/>
          <w:szCs w:val="22"/>
          <w:lang w:val="en-US"/>
        </w:rPr>
        <w:t>.</w:t>
      </w:r>
      <w:r w:rsidRPr="00FB3B9E">
        <w:rPr>
          <w:sz w:val="22"/>
          <w:szCs w:val="22"/>
          <w:lang w:val="en-US"/>
        </w:rPr>
        <w:t xml:space="preserve"> </w:t>
      </w:r>
      <w:r w:rsidR="00FB3B9E" w:rsidRPr="00FB3B9E">
        <w:rPr>
          <w:sz w:val="22"/>
          <w:szCs w:val="22"/>
          <w:lang w:val="en-US"/>
        </w:rPr>
        <w:t xml:space="preserve">K.R.C. </w:t>
      </w:r>
      <w:proofErr w:type="spellStart"/>
      <w:r w:rsidR="00FB3B9E" w:rsidRPr="00FB3B9E">
        <w:rPr>
          <w:sz w:val="22"/>
          <w:szCs w:val="22"/>
          <w:lang w:val="en-US"/>
        </w:rPr>
        <w:t>Mok</w:t>
      </w:r>
      <w:proofErr w:type="spellEnd"/>
      <w:r w:rsidR="00FB3B9E" w:rsidRPr="00FB3B9E">
        <w:rPr>
          <w:sz w:val="22"/>
          <w:szCs w:val="22"/>
          <w:lang w:val="en-US"/>
        </w:rPr>
        <w:t xml:space="preserve">, F. </w:t>
      </w:r>
      <w:proofErr w:type="spellStart"/>
      <w:r w:rsidR="00FB3B9E" w:rsidRPr="00FB3B9E">
        <w:rPr>
          <w:sz w:val="22"/>
          <w:szCs w:val="22"/>
          <w:lang w:val="en-US"/>
        </w:rPr>
        <w:t>Benistant</w:t>
      </w:r>
      <w:proofErr w:type="spellEnd"/>
      <w:r w:rsidR="00FB3B9E" w:rsidRPr="00FB3B9E">
        <w:rPr>
          <w:sz w:val="22"/>
          <w:szCs w:val="22"/>
          <w:lang w:val="en-US"/>
        </w:rPr>
        <w:t xml:space="preserve">, M. </w:t>
      </w:r>
      <w:proofErr w:type="spellStart"/>
      <w:r w:rsidR="00FB3B9E" w:rsidRPr="00FB3B9E">
        <w:rPr>
          <w:sz w:val="22"/>
          <w:szCs w:val="22"/>
          <w:lang w:val="en-US"/>
        </w:rPr>
        <w:t>Jaraiz</w:t>
      </w:r>
      <w:proofErr w:type="spellEnd"/>
      <w:r w:rsidR="00FB3B9E" w:rsidRPr="00FB3B9E">
        <w:rPr>
          <w:sz w:val="22"/>
          <w:szCs w:val="22"/>
          <w:lang w:val="en-US"/>
        </w:rPr>
        <w:t xml:space="preserve">, J.E. Rubio, P. </w:t>
      </w:r>
      <w:proofErr w:type="spellStart"/>
      <w:r w:rsidR="00FB3B9E" w:rsidRPr="00FB3B9E">
        <w:rPr>
          <w:sz w:val="22"/>
          <w:szCs w:val="22"/>
          <w:lang w:val="en-US"/>
        </w:rPr>
        <w:t>Castril</w:t>
      </w:r>
      <w:r w:rsidR="007D08B0">
        <w:rPr>
          <w:sz w:val="22"/>
          <w:szCs w:val="22"/>
          <w:lang w:val="en-US"/>
        </w:rPr>
        <w:t>lo</w:t>
      </w:r>
      <w:proofErr w:type="spellEnd"/>
      <w:r w:rsidR="007D08B0">
        <w:rPr>
          <w:sz w:val="22"/>
          <w:szCs w:val="22"/>
          <w:lang w:val="en-US"/>
        </w:rPr>
        <w:t xml:space="preserve">, R. </w:t>
      </w:r>
      <w:proofErr w:type="spellStart"/>
      <w:r w:rsidR="007D08B0">
        <w:rPr>
          <w:sz w:val="22"/>
          <w:szCs w:val="22"/>
          <w:lang w:val="en-US"/>
        </w:rPr>
        <w:t>Pinacho</w:t>
      </w:r>
      <w:proofErr w:type="spellEnd"/>
      <w:r w:rsidR="007D08B0">
        <w:rPr>
          <w:sz w:val="22"/>
          <w:szCs w:val="22"/>
          <w:lang w:val="en-US"/>
        </w:rPr>
        <w:t>, M.P. Srinivasan</w:t>
      </w:r>
      <w:r w:rsidR="007D08B0" w:rsidRPr="007D08B0">
        <w:rPr>
          <w:sz w:val="22"/>
          <w:szCs w:val="22"/>
          <w:lang w:val="en-US"/>
        </w:rPr>
        <w:t>,</w:t>
      </w:r>
      <w:r w:rsidR="00FB3B9E" w:rsidRPr="00FB3B9E">
        <w:rPr>
          <w:sz w:val="22"/>
          <w:szCs w:val="22"/>
          <w:lang w:val="en-US"/>
        </w:rPr>
        <w:t xml:space="preserve"> // </w:t>
      </w:r>
      <w:proofErr w:type="spellStart"/>
      <w:r w:rsidR="00FB3B9E" w:rsidRPr="00FB3B9E">
        <w:rPr>
          <w:sz w:val="22"/>
          <w:szCs w:val="22"/>
          <w:lang w:val="en-US"/>
        </w:rPr>
        <w:t>J.Appl</w:t>
      </w:r>
      <w:proofErr w:type="spellEnd"/>
      <w:r w:rsidR="00FB3B9E" w:rsidRPr="00FB3B9E">
        <w:rPr>
          <w:sz w:val="22"/>
          <w:szCs w:val="22"/>
          <w:lang w:val="en-US"/>
        </w:rPr>
        <w:t>. Phys., 2008,</w:t>
      </w:r>
      <w:r w:rsidR="00FB3B9E">
        <w:rPr>
          <w:sz w:val="22"/>
          <w:szCs w:val="22"/>
          <w:lang w:val="en-US"/>
        </w:rPr>
        <w:t xml:space="preserve"> v.103, p. 014911</w:t>
      </w:r>
      <w:r w:rsidR="00FB3B9E" w:rsidRPr="00FB3B9E">
        <w:rPr>
          <w:sz w:val="22"/>
          <w:szCs w:val="22"/>
          <w:lang w:val="en-US"/>
        </w:rPr>
        <w:t>.</w:t>
      </w:r>
    </w:p>
    <w:p w14:paraId="590B6950" w14:textId="794E2B5C" w:rsidR="00FB3B9E" w:rsidRPr="007D08B0" w:rsidRDefault="00FB3B9E" w:rsidP="00375A97">
      <w:pPr>
        <w:ind w:firstLine="425"/>
        <w:jc w:val="both"/>
        <w:rPr>
          <w:sz w:val="22"/>
          <w:szCs w:val="22"/>
          <w:lang w:val="en-US"/>
        </w:rPr>
      </w:pPr>
      <w:r w:rsidRPr="00FB3B9E">
        <w:rPr>
          <w:sz w:val="22"/>
          <w:szCs w:val="22"/>
          <w:lang w:val="en-US"/>
        </w:rPr>
        <w:t xml:space="preserve">2. P.D. Edmondson, D.J. Riley, R.C. </w:t>
      </w:r>
      <w:proofErr w:type="spellStart"/>
      <w:r w:rsidRPr="00FB3B9E">
        <w:rPr>
          <w:sz w:val="22"/>
          <w:szCs w:val="22"/>
          <w:lang w:val="en-US"/>
        </w:rPr>
        <w:t>Birtcher</w:t>
      </w:r>
      <w:proofErr w:type="spellEnd"/>
      <w:r w:rsidRPr="00FB3B9E">
        <w:rPr>
          <w:sz w:val="22"/>
          <w:szCs w:val="22"/>
          <w:lang w:val="en-US"/>
        </w:rPr>
        <w:t>, S.E. Donnelly</w:t>
      </w:r>
      <w:r w:rsidR="007D08B0" w:rsidRPr="007D08B0">
        <w:rPr>
          <w:sz w:val="22"/>
          <w:szCs w:val="22"/>
          <w:lang w:val="en-US"/>
        </w:rPr>
        <w:t>,</w:t>
      </w:r>
      <w:r w:rsidRPr="00FB3B9E">
        <w:rPr>
          <w:sz w:val="22"/>
          <w:szCs w:val="22"/>
          <w:lang w:val="en-US"/>
        </w:rPr>
        <w:t xml:space="preserve"> </w:t>
      </w:r>
      <w:r w:rsidR="00F05F3C">
        <w:rPr>
          <w:sz w:val="22"/>
          <w:szCs w:val="22"/>
          <w:lang w:val="en-US"/>
        </w:rPr>
        <w:t xml:space="preserve">// </w:t>
      </w:r>
      <w:r w:rsidRPr="00FB3B9E">
        <w:rPr>
          <w:sz w:val="22"/>
          <w:szCs w:val="22"/>
          <w:lang w:val="en-US"/>
        </w:rPr>
        <w:t>J</w:t>
      </w:r>
      <w:r w:rsidRPr="007D08B0">
        <w:rPr>
          <w:sz w:val="22"/>
          <w:szCs w:val="22"/>
          <w:lang w:val="en-US"/>
        </w:rPr>
        <w:t xml:space="preserve">. </w:t>
      </w:r>
      <w:r w:rsidRPr="00FB3B9E">
        <w:rPr>
          <w:sz w:val="22"/>
          <w:szCs w:val="22"/>
          <w:lang w:val="en-US"/>
        </w:rPr>
        <w:t>Appl</w:t>
      </w:r>
      <w:r w:rsidRPr="007D08B0">
        <w:rPr>
          <w:sz w:val="22"/>
          <w:szCs w:val="22"/>
          <w:lang w:val="en-US"/>
        </w:rPr>
        <w:t xml:space="preserve">. </w:t>
      </w:r>
      <w:r w:rsidRPr="00FB3B9E">
        <w:rPr>
          <w:sz w:val="22"/>
          <w:szCs w:val="22"/>
          <w:lang w:val="en-US"/>
        </w:rPr>
        <w:t>Phys</w:t>
      </w:r>
      <w:r w:rsidRPr="007D08B0">
        <w:rPr>
          <w:sz w:val="22"/>
          <w:szCs w:val="22"/>
          <w:lang w:val="en-US"/>
        </w:rPr>
        <w:t xml:space="preserve">., 2009, v.106, </w:t>
      </w:r>
      <w:r>
        <w:rPr>
          <w:sz w:val="22"/>
          <w:szCs w:val="22"/>
          <w:lang w:val="en-US"/>
        </w:rPr>
        <w:t xml:space="preserve">p. </w:t>
      </w:r>
      <w:r w:rsidRPr="007D08B0">
        <w:rPr>
          <w:sz w:val="22"/>
          <w:szCs w:val="22"/>
          <w:lang w:val="en-US"/>
        </w:rPr>
        <w:t>043505.</w:t>
      </w:r>
    </w:p>
    <w:p w14:paraId="20EEE90A" w14:textId="46E265DA" w:rsidR="00FB3B9E" w:rsidRPr="007D08B0" w:rsidRDefault="00FB3B9E" w:rsidP="00375A97">
      <w:pPr>
        <w:ind w:firstLine="425"/>
        <w:jc w:val="both"/>
        <w:rPr>
          <w:sz w:val="22"/>
          <w:szCs w:val="22"/>
        </w:rPr>
      </w:pPr>
      <w:r w:rsidRPr="007D08B0">
        <w:rPr>
          <w:sz w:val="22"/>
          <w:szCs w:val="22"/>
        </w:rPr>
        <w:t xml:space="preserve">3. </w:t>
      </w:r>
      <w:r>
        <w:rPr>
          <w:bCs/>
          <w:sz w:val="22"/>
          <w:szCs w:val="22"/>
        </w:rPr>
        <w:t>Е</w:t>
      </w:r>
      <w:r w:rsidRPr="007D08B0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В</w:t>
      </w:r>
      <w:r w:rsidRPr="007D08B0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Окулич</w:t>
      </w:r>
      <w:r w:rsidRPr="007D08B0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В</w:t>
      </w:r>
      <w:r w:rsidRPr="007D08B0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И</w:t>
      </w:r>
      <w:r w:rsidRPr="007D08B0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Окулич</w:t>
      </w:r>
      <w:r w:rsidRPr="007D08B0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Д</w:t>
      </w:r>
      <w:r w:rsidRPr="007D08B0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И</w:t>
      </w:r>
      <w:r w:rsidRPr="007D08B0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Тетельбаум</w:t>
      </w:r>
      <w:r w:rsidR="007D08B0">
        <w:rPr>
          <w:bCs/>
          <w:sz w:val="22"/>
          <w:szCs w:val="22"/>
        </w:rPr>
        <w:t>,</w:t>
      </w:r>
      <w:r w:rsidRPr="007D08B0">
        <w:rPr>
          <w:bCs/>
          <w:sz w:val="22"/>
          <w:szCs w:val="22"/>
        </w:rPr>
        <w:t xml:space="preserve"> // </w:t>
      </w:r>
      <w:r>
        <w:rPr>
          <w:bCs/>
          <w:sz w:val="22"/>
          <w:szCs w:val="22"/>
        </w:rPr>
        <w:t>ФТП</w:t>
      </w:r>
      <w:r w:rsidRPr="007D08B0">
        <w:rPr>
          <w:bCs/>
          <w:sz w:val="22"/>
          <w:szCs w:val="22"/>
        </w:rPr>
        <w:t xml:space="preserve">, 2018, </w:t>
      </w:r>
      <w:r>
        <w:rPr>
          <w:bCs/>
          <w:sz w:val="22"/>
          <w:szCs w:val="22"/>
        </w:rPr>
        <w:t>т</w:t>
      </w:r>
      <w:r w:rsidRPr="007D08B0">
        <w:rPr>
          <w:bCs/>
          <w:sz w:val="22"/>
          <w:szCs w:val="22"/>
        </w:rPr>
        <w:t xml:space="preserve">.52, </w:t>
      </w:r>
      <w:proofErr w:type="spellStart"/>
      <w:r>
        <w:rPr>
          <w:bCs/>
          <w:sz w:val="22"/>
          <w:szCs w:val="22"/>
        </w:rPr>
        <w:t>вып</w:t>
      </w:r>
      <w:proofErr w:type="spellEnd"/>
      <w:r w:rsidRPr="007D08B0">
        <w:rPr>
          <w:bCs/>
          <w:sz w:val="22"/>
          <w:szCs w:val="22"/>
        </w:rPr>
        <w:t xml:space="preserve">. 9, </w:t>
      </w:r>
      <w:r>
        <w:rPr>
          <w:bCs/>
          <w:sz w:val="22"/>
          <w:szCs w:val="22"/>
        </w:rPr>
        <w:t>с</w:t>
      </w:r>
      <w:r w:rsidRPr="007D08B0">
        <w:rPr>
          <w:bCs/>
          <w:sz w:val="22"/>
          <w:szCs w:val="22"/>
        </w:rPr>
        <w:t>. 967.</w:t>
      </w:r>
    </w:p>
    <w:sectPr w:rsidR="00FB3B9E" w:rsidRPr="007D08B0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E033E" w14:textId="77777777" w:rsidR="00F36BD3" w:rsidRDefault="00F36BD3">
      <w:r>
        <w:separator/>
      </w:r>
    </w:p>
  </w:endnote>
  <w:endnote w:type="continuationSeparator" w:id="0">
    <w:p w14:paraId="0D9ED962" w14:textId="77777777" w:rsidR="00F36BD3" w:rsidRDefault="00F3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9291D" w14:textId="77777777" w:rsidR="00F36BD3" w:rsidRDefault="00F36BD3">
      <w:r>
        <w:separator/>
      </w:r>
    </w:p>
  </w:footnote>
  <w:footnote w:type="continuationSeparator" w:id="0">
    <w:p w14:paraId="77CB2F36" w14:textId="77777777" w:rsidR="00F36BD3" w:rsidRDefault="00F36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32FB9"/>
    <w:rsid w:val="00093A2B"/>
    <w:rsid w:val="001E1D1D"/>
    <w:rsid w:val="002503AB"/>
    <w:rsid w:val="002547F8"/>
    <w:rsid w:val="00274F14"/>
    <w:rsid w:val="002911FC"/>
    <w:rsid w:val="002D1CB1"/>
    <w:rsid w:val="002D21EC"/>
    <w:rsid w:val="0032413D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7136E1"/>
    <w:rsid w:val="007171BE"/>
    <w:rsid w:val="007C7E5F"/>
    <w:rsid w:val="007D08B0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A36D6"/>
    <w:rsid w:val="00BD0421"/>
    <w:rsid w:val="00BE3747"/>
    <w:rsid w:val="00D95DF8"/>
    <w:rsid w:val="00DF5661"/>
    <w:rsid w:val="00E30B97"/>
    <w:rsid w:val="00F05F3C"/>
    <w:rsid w:val="00F2045D"/>
    <w:rsid w:val="00F231B3"/>
    <w:rsid w:val="00F36BD3"/>
    <w:rsid w:val="00F4676D"/>
    <w:rsid w:val="00F620BE"/>
    <w:rsid w:val="00FB3B9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B3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D12563E-439B-49D6-A99F-7B07961E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Евгения Окулич</cp:lastModifiedBy>
  <cp:revision>6</cp:revision>
  <cp:lastPrinted>2017-12-26T13:36:00Z</cp:lastPrinted>
  <dcterms:created xsi:type="dcterms:W3CDTF">2020-03-01T13:23:00Z</dcterms:created>
  <dcterms:modified xsi:type="dcterms:W3CDTF">2020-03-01T13:46:00Z</dcterms:modified>
</cp:coreProperties>
</file>